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Style w:val="OATitle"/>
        <w:keepNext/>
      </w:pPr>
      <w:r>
        <w:rPr>
          <w:rFonts w:ascii="Georgia" w:cs="Georgia" w:eastAsia="Georgia" w:hAnsi="Georgia"/>
          <w:b w:val="false"/>
          <w:bCs w:val="false"/>
          <w:color w:val="1D2021"/>
          <w:sz w:val="52"/>
          <w:szCs w:val="52"/>
        </w:rPr>
        <w:t xml:space="preserve">Commercial Arbitration Clause</w:t>
      </w:r>
    </w:p>
    <w:p>
      <w:pPr>
        <w:pStyle w:val="Heading1"/>
        <w:pStyle w:val="OASectionHeading"/>
        <w:keepNext/>
      </w:pPr>
      <w:r>
        <w:rPr>
          <w:rFonts w:ascii="Arial" w:cs="Arial" w:eastAsia="Arial" w:hAnsi="Arial"/>
          <w:b/>
          <w:bCs/>
          <w:color w:val="117086"/>
          <w:sz w:val="30"/>
          <w:szCs w:val="30"/>
        </w:rPr>
        <w:t xml:space="preserve">Agreement to arbitrate</w:t>
      </w:r>
    </w:p>
    <w:p>
      <w:pPr>
        <w:pStyle w:val="OABody"/>
      </w:pPr>
      <w:r>
        <w:rPr>
          <w:rFonts w:ascii="Arial" w:cs="Arial" w:eastAsia="Arial" w:hAnsi="Arial"/>
          <w:sz w:val="22"/>
          <w:szCs w:val="22"/>
        </w:rPr>
        <w:t xml:space="preserve">The parties agree to resolve by binding arbitration disputes between them arising from or relating to this Agreement, including its interpretation, performance, breach, or termination, except to the extent applicable law prevents a claim from being subject to a required arbitration agreement.</w:t>
      </w:r>
    </w:p>
    <w:p>
      <w:pPr>
        <w:pStyle w:val="OABody"/>
      </w:pPr>
      <w:r>
        <w:rPr>
          <w:rFonts w:ascii="Arial" w:cs="Arial" w:eastAsia="Arial" w:hAnsi="Arial"/>
          <w:sz w:val="22"/>
          <w:szCs w:val="22"/>
        </w:rPr>
        <w:t xml:space="preserve">The arbitration will be administered by </w:t>
      </w:r>
      <w:r>
        <w:rPr>
          <w:rFonts w:ascii="Arial" w:cs="Arial" w:eastAsia="Arial" w:hAnsi="Arial"/>
          <w:sz w:val="22"/>
          <w:szCs w:val="22"/>
        </w:rPr>
        <w:t xml:space="preserve">{administrator_name}</w:t>
      </w:r>
      <w:r>
        <w:rPr>
          <w:rFonts w:ascii="Arial" w:cs="Arial" w:eastAsia="Arial" w:hAnsi="Arial"/>
          <w:sz w:val="22"/>
          <w:szCs w:val="22"/>
        </w:rPr>
        <w:t xml:space="preserve"> under the </w:t>
      </w:r>
      <w:r>
        <w:rPr>
          <w:rFonts w:ascii="Arial" w:cs="Arial" w:eastAsia="Arial" w:hAnsi="Arial"/>
          <w:sz w:val="22"/>
          <w:szCs w:val="22"/>
        </w:rPr>
        <w:t xml:space="preserve">{rules_name}</w:t>
      </w:r>
      <w:r>
        <w:rPr>
          <w:rFonts w:ascii="Arial" w:cs="Arial" w:eastAsia="Arial" w:hAnsi="Arial"/>
          <w:sz w:val="22"/>
          <w:szCs w:val="22"/>
        </w:rPr>
        <w:t xml:space="preserve">, available at </w:t>
      </w:r>
      <w:r>
        <w:rPr>
          <w:rFonts w:ascii="Arial" w:cs="Arial" w:eastAsia="Arial" w:hAnsi="Arial"/>
          <w:sz w:val="22"/>
          <w:szCs w:val="22"/>
        </w:rPr>
        <w:t xml:space="preserve">{rules_url}</w:t>
      </w:r>
      <w:r>
        <w:rPr>
          <w:rFonts w:ascii="Arial" w:cs="Arial" w:eastAsia="Arial" w:hAnsi="Arial"/>
          <w:sz w:val="22"/>
          <w:szCs w:val="22"/>
        </w:rPr>
        <w:t xml:space="preserve"> (the “Rules”). The applicable Rules are </w:t>
      </w:r>
      <w:r>
        <w:rPr>
          <w:rFonts w:ascii="Arial" w:cs="Arial" w:eastAsia="Arial" w:hAnsi="Arial"/>
          <w:sz w:val="22"/>
          <w:szCs w:val="22"/>
        </w:rPr>
        <w:t xml:space="preserve">{rules_version}</w:t>
      </w:r>
      <w:r>
        <w:rPr>
          <w:rFonts w:ascii="Arial" w:cs="Arial" w:eastAsia="Arial" w:hAnsi="Arial"/>
          <w:sz w:val="22"/>
          <w:szCs w:val="22"/>
        </w:rPr>
        <w:t xml:space="preserve">. The tribunal will be constituted as follows: </w:t>
      </w:r>
      <w:r>
        <w:rPr>
          <w:rFonts w:ascii="Arial" w:cs="Arial" w:eastAsia="Arial" w:hAnsi="Arial"/>
          <w:sz w:val="22"/>
          <w:szCs w:val="22"/>
        </w:rPr>
        <w:t xml:space="preserve">{tribunal_composition}</w:t>
      </w:r>
      <w:r>
        <w:rPr>
          <w:rFonts w:ascii="Arial" w:cs="Arial" w:eastAsia="Arial" w:hAnsi="Arial"/>
          <w:sz w:val="22"/>
          <w:szCs w:val="22"/>
        </w:rPr>
        <w:t xml:space="preserve">.</w:t>
      </w:r>
    </w:p>
    <w:p>
      <w:pPr>
        <w:pStyle w:val="Heading1"/>
        <w:pStyle w:val="OASectionHeading"/>
        <w:keepNext/>
      </w:pPr>
      <w:r>
        <w:rPr>
          <w:rFonts w:ascii="Arial" w:cs="Arial" w:eastAsia="Arial" w:hAnsi="Arial"/>
          <w:b/>
          <w:bCs/>
          <w:color w:val="117086"/>
          <w:sz w:val="30"/>
          <w:szCs w:val="30"/>
        </w:rPr>
        <w:t xml:space="preserve">Seat and language</w:t>
      </w:r>
    </w:p>
    <w:p>
      <w:pPr>
        <w:pStyle w:val="OABody"/>
      </w:pPr>
      <w:r>
        <w:rPr>
          <w:rFonts w:ascii="Arial" w:cs="Arial" w:eastAsia="Arial" w:hAnsi="Arial"/>
          <w:sz w:val="22"/>
          <w:szCs w:val="22"/>
        </w:rPr>
        <w:t xml:space="preserve">The juridical seat of arbitration is </w:t>
      </w:r>
      <w:r>
        <w:rPr>
          <w:rFonts w:ascii="Arial" w:cs="Arial" w:eastAsia="Arial" w:hAnsi="Arial"/>
          <w:sz w:val="22"/>
          <w:szCs w:val="22"/>
        </w:rPr>
        <w:t xml:space="preserve">{arbitral_seat}</w:t>
      </w:r>
      <w:r>
        <w:rPr>
          <w:rFonts w:ascii="Arial" w:cs="Arial" w:eastAsia="Arial" w:hAnsi="Arial"/>
          <w:sz w:val="22"/>
          <w:szCs w:val="22"/>
        </w:rPr>
        <w:t xml:space="preserve">. Participation from another location does not change that seat. The language of the arbitration is </w:t>
      </w:r>
      <w:r>
        <w:rPr>
          <w:rFonts w:ascii="Arial" w:cs="Arial" w:eastAsia="Arial" w:hAnsi="Arial"/>
          <w:sz w:val="22"/>
          <w:szCs w:val="22"/>
        </w:rPr>
        <w:t xml:space="preserve">{arbitration_language}</w:t>
      </w:r>
      <w:r>
        <w:rPr>
          <w:rFonts w:ascii="Arial" w:cs="Arial" w:eastAsia="Arial" w:hAnsi="Arial"/>
          <w:sz w:val="22"/>
          <w:szCs w:val="22"/>
        </w:rPr>
        <w:t xml:space="preserve">.</w:t>
      </w:r>
    </w:p>
    <w:p>
      <w:pPr>
        <w:pStyle w:val="Heading1"/>
        <w:pStyle w:val="OASectionHeading"/>
        <w:keepNext/>
      </w:pPr>
      <w:r>
        <w:rPr>
          <w:rFonts w:ascii="Arial" w:cs="Arial" w:eastAsia="Arial" w:hAnsi="Arial"/>
          <w:b/>
          <w:bCs/>
          <w:color w:val="117086"/>
          <w:sz w:val="30"/>
          <w:szCs w:val="30"/>
        </w:rPr>
        <w:t xml:space="preserve">Agreed procedure</w:t>
      </w:r>
    </w:p>
    <w:p>
      <w:pPr>
        <w:pStyle w:val="OABody"/>
      </w:pPr>
      <w:r>
        <w:rPr>
          <w:rFonts w:ascii="Arial" w:cs="Arial" w:eastAsia="Arial" w:hAnsi="Arial"/>
          <w:sz w:val="22"/>
          <w:szCs w:val="22"/>
        </w:rPr>
        <w:t xml:space="preserve">{procedure_terms}</w:t>
      </w:r>
    </w:p>
    <w:p>
      <w:pPr>
        <w:pStyle w:val="Heading1"/>
        <w:pStyle w:val="OASectionHeading"/>
        <w:keepNext/>
      </w:pPr>
      <w:r>
        <w:rPr>
          <w:rFonts w:ascii="Arial" w:cs="Arial" w:eastAsia="Arial" w:hAnsi="Arial"/>
          <w:b/>
          <w:bCs/>
          <w:color w:val="117086"/>
          <w:sz w:val="30"/>
          <w:szCs w:val="30"/>
        </w:rPr>
        <w:t xml:space="preserve">Award and court relief</w:t>
      </w:r>
    </w:p>
    <w:p>
      <w:pPr>
        <w:pStyle w:val="OABody"/>
      </w:pPr>
      <w:r>
        <w:rPr>
          <w:rFonts w:ascii="Arial" w:cs="Arial" w:eastAsia="Arial" w:hAnsi="Arial"/>
          <w:sz w:val="22"/>
          <w:szCs w:val="22"/>
        </w:rPr>
        <w:t xml:space="preserve">An award is binding subject to any review provided by the Rules and applicable law. The parties consent to entry of judgment on the operative award by a court with jurisdiction, subject to any valid agreement on judicial venue, including one incorporated through the Rules. A party may seek provisional judicial relief in aid of arbitration in a court permitted by that venue agreement and applicable law. This clause does not waive a review or challenge available under the Rules or a right that applicable law makes nonwaivable.</w:t>
      </w:r>
    </w:p>
    <w:p>
      <w:pPr>
        <w:pStyle w:val="Heading1"/>
        <w:pStyle w:val="OASectionHeading"/>
        <w:keepNext/>
      </w:pPr>
      <w:r>
        <w:rPr>
          <w:rFonts w:ascii="Arial" w:cs="Arial" w:eastAsia="Arial" w:hAnsi="Arial"/>
          <w:b/>
          <w:bCs/>
          <w:color w:val="117086"/>
          <w:sz w:val="30"/>
          <w:szCs w:val="30"/>
        </w:rPr>
        <w:t xml:space="preserve">Arbitration law</w:t>
      </w:r>
    </w:p>
    <w:p>
      <w:pPr>
        <w:pStyle w:val="OABody"/>
      </w:pPr>
      <w:r>
        <w:rPr>
          <w:rFonts w:ascii="Arial" w:cs="Arial" w:eastAsia="Arial" w:hAnsi="Arial"/>
          <w:sz w:val="22"/>
          <w:szCs w:val="22"/>
        </w:rPr>
        <w:t xml:space="preserve">The Federal Arbitration Act governs this clause and the arbitration to the extent it applies; otherwise, applicable arbitration law governs. This clause does not change the substantive law selected elsewhere in this Agreement.</w:t>
      </w:r>
    </w:p>
    <w:sectPr>
      <w:headerReference w:type="default" r:id="rId7"/>
      <w:footerReference w:type="default" r:id="rId8"/>
      <w:type w:val="continuous"/>
      <w:pgSz w:w="12240" w:h="15840" w:orient="portrait"/>
      <w:pgMar w:top="936" w:right="1080" w:bottom="720" w:left="1080" w:header="360" w:footer="432"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10080"/>
      </w:tabs>
      <w:spacing w:after="0" w:before="0"/>
    </w:pPr>
    <w:r>
      <w:rPr>
        <w:rFonts w:ascii="Arial" w:cs="Arial" w:eastAsia="Arial" w:hAnsi="Arial"/>
        <w:color w:val="494A4B"/>
        <w:sz w:val="18"/>
        <w:szCs w:val="18"/>
      </w:rPr>
      <w:t xml:space="preserve">Commercial Arbitration Clause (v0.1.0). Original contribution by OpenAgreements contributors. Licensed under CC BY 4.0.</w:t>
    </w:r>
    <w:r>
      <w:tab/>
    </w:r>
    <w:r>
      <w:rPr>
        <w:rFonts w:ascii="Arial" w:cs="Arial" w:eastAsia="Arial" w:hAnsi="Arial"/>
        <w:color w:val="494A4B"/>
        <w:sz w:val="18"/>
        <w:szCs w:val="18"/>
      </w:rPr>
      <w:t xml:space="preserve">Page </w:t>
    </w:r>
    <w:r>
      <w:rPr>
        <w:rFonts w:ascii="Arial" w:cs="Arial" w:eastAsia="Arial" w:hAnsi="Arial"/>
        <w:color w:val="494A4B"/>
        <w:sz w:val="18"/>
        <w:szCs w:val="18"/>
      </w:rPr>
      <w:fldChar w:fldCharType="begin"/>
      <w:instrText xml:space="preserve">PAGE</w:instrText>
      <w:fldChar w:fldCharType="separate"/>
      <w:t>1</w:t>
      <w:fldChar w:fldCharType="end"/>
    </w:r>
    <w:r>
      <w:rPr>
        <w:rFonts w:ascii="Arial" w:cs="Arial" w:eastAsia="Arial" w:hAnsi="Arial"/>
        <w:color w:val="494A4B"/>
        <w:sz w:val="18"/>
        <w:szCs w:val="18"/>
      </w:rPr>
      <w:t xml:space="preserve"> of </w:t>
    </w:r>
    <w:r>
      <w:rPr>
        <w:rFonts w:ascii="Arial" w:cs="Arial" w:eastAsia="Arial" w:hAnsi="Arial"/>
        <w:color w:val="494A4B"/>
        <w:sz w:val="18"/>
        <w:szCs w:val="18"/>
      </w:rPr>
      <w:fldChar w:fldCharType="begin"/>
      <w:instrText xml:space="preserve">NUMPAGES</w:instrText>
      <w:fldChar w:fldCharType="separate"/>
      <w:t>1</w:t>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07087" w:sz="8" w:space="0"/>
      </w:pBdr>
      <w:spacing w:after="0"/>
      <w:jc w:val="right"/>
    </w:pPr>
    <w:r>
      <w:rPr>
        <w:rFonts w:ascii="Arial" w:cs="Arial" w:eastAsia="Arial" w:hAnsi="Arial"/>
        <w:b/>
        <w:bCs/>
        <w:caps/>
        <w:color w:val="107087"/>
        <w:sz w:val="18"/>
        <w:szCs w:val="18"/>
      </w:rPr>
      <w:t xml:space="preserve">Commercial Arbitration Clause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pPr>
        <w:spacing w:after="280" w:line="34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OABody">
    <w:name w:val="OA Body"/>
    <w:basedOn w:val="Normal"/>
    <w:next w:val="OABody"/>
    <w:pPr>
      <w:spacing w:after="280" w:line="340"/>
      <w:jc w:val="both"/>
    </w:pPr>
    <w:rPr>
      <w:rFonts w:ascii="Arial" w:cs="Arial" w:eastAsia="Arial" w:hAnsi="Arial"/>
      <w:color w:val="1D2021"/>
      <w:sz w:val="22"/>
      <w:szCs w:val="22"/>
    </w:rPr>
  </w:style>
  <w:style w:type="paragraph" w:styleId="OATitle">
    <w:name w:val="OA Title"/>
    <w:basedOn w:val="Normal"/>
    <w:next w:val="OABody"/>
    <w:pPr>
      <w:keepNext/>
      <w:spacing w:after="210" w:before="240" w:line="340"/>
      <w:jc w:val="left"/>
    </w:pPr>
    <w:rPr>
      <w:rFonts w:ascii="Georgia" w:cs="Georgia" w:eastAsia="Georgia" w:hAnsi="Georgia"/>
      <w:color w:val="1D2021"/>
      <w:sz w:val="52"/>
      <w:szCs w:val="52"/>
    </w:rPr>
  </w:style>
  <w:style w:type="paragraph" w:styleId="OASectionHeading">
    <w:name w:val="OA Section Heading"/>
    <w:basedOn w:val="Normal"/>
    <w:next w:val="OABody"/>
    <w:pPr>
      <w:keepNext/>
      <w:spacing w:after="120" w:before="240" w:line="340"/>
      <w:jc w:val="left"/>
    </w:pPr>
    <w:rPr>
      <w:rFonts w:ascii="Arial" w:cs="Arial" w:eastAsia="Arial" w:hAnsi="Arial"/>
      <w:b/>
      <w:bCs/>
      <w:color w:val="117086"/>
      <w:sz w:val="30"/>
      <w:szCs w:val="30"/>
    </w:rPr>
  </w:style>
  <w:style w:type="paragraph" w:styleId="OASubHeading">
    <w:name w:val="OA Sub Heading"/>
    <w:basedOn w:val="Normal"/>
    <w:next w:val="OABody"/>
    <w:pPr>
      <w:keepNext/>
      <w:spacing w:after="120" w:before="320" w:line="340"/>
      <w:jc w:val="left"/>
    </w:pPr>
    <w:rPr>
      <w:rFonts w:ascii="Arial" w:cs="Arial" w:eastAsia="Arial" w:hAnsi="Arial"/>
      <w:b/>
      <w:bCs/>
      <w:color w:val="1D2021"/>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 Id="rId10" Type="http://schemas.openxmlformats.org/officeDocument/2006/relationships/theme" Target="theme/theme1.xml"/><Relationship Id="rId11" Type="http://schemas.openxmlformats.org/officeDocument/2006/relationships/webSettings" Target="webSettings.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Commercial Arbitration Clause</dc:title>
  <dc:creator>OpenAgreements</dc:creator>
  <cp:lastModifiedBy>Un-named</cp:lastModifiedBy>
  <cp:revision>1</cp:revision>
  <dcterms:created xsi:type="dcterms:W3CDTF">2026-10-15T14:52:25.236Z</dcterms:created>
  <dcterms:modified xsi:type="dcterms:W3CDTF">2026-10-15T14:52:25.236Z</dcterms:modified>
</cp:coreProperties>
</file>

<file path=docProps/custom.xml><?xml version="1.0" encoding="utf-8"?>
<Properties xmlns="http://schemas.openxmlformats.org/officeDocument/2006/custom-properties" xmlns:vt="http://schemas.openxmlformats.org/officeDocument/2006/docPropsVTypes"/>
</file>