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Restrictive Covenant Agreement</w:t>
      </w:r>
    </w:p>
    <w:p>
      <w:pPr>
        <w:pStyle w:val="Normal"/>
        <w:spacing w:after="0" w:line="0"/>
      </w:pPr>
      <w:r>
        <w:rPr>
          <w:sz w:val="1"/>
          <w:szCs w:val="1"/>
        </w:rPr>
        <w:t xml:space="preserve">{IF any_confirmation_pending}</w:t>
      </w:r>
    </w:p>
    <w:p>
      <w:pPr>
        <w:pStyle w:val="OAClauseBody"/>
        <w:spacing w:after="280" w:before="0" w:line="340" w:beforeAutospacing="false" w:afterAutospacing="false"/>
        <w:contextualSpacing w:val="false"/>
      </w:pPr>
      <w:r>
        <w:rPr>
          <w:rFonts w:ascii="Arial" w:cs="Arial" w:eastAsia="Arial" w:hAnsi="Arial"/>
          <w:b/>
          <w:bCs/>
          <w:color w:val="1D2021"/>
          <w:sz w:val="22"/>
          <w:szCs w:val="22"/>
          <w:highlight w:val="yellow"/>
          <w:highlightCs w:val="yellow"/>
        </w:rPr>
        <w:t xml:space="preserve">CONFIRMATION REQUIRED BEFORE SIGNING</w:t>
      </w:r>
    </w:p>
    <w:p>
      <w:pPr>
        <w:pStyle w:val="OAClauseBody"/>
        <w:spacing w:after="280" w:before="0" w:line="340" w:beforeAutospacing="false" w:afterAutospacing="false"/>
        <w:contextualSpacing w:val="false"/>
      </w:pPr>
      <w:r>
        <w:rPr>
          <w:rFonts w:ascii="Arial" w:cs="Arial" w:eastAsia="Arial" w:hAnsi="Arial"/>
          <w:b w:val="false"/>
          <w:bCs w:val="false"/>
          <w:color w:val="1D2021"/>
          <w:sz w:val="22"/>
          <w:szCs w:val="22"/>
          <w:highlight w:val="yellow"/>
          <w:highlightCs w:val="yellow"/>
        </w:rPr>
        <w:t xml:space="preserve">This page lists statutory-compliance items a person must verify before signing. Each appears in full within the Standard Terms below, flagged there with a yellow "CONFIRM before signing" bracket. This list is only an index: for each item, find the named section in the Standard Terms, confirm the stated fact occurred, and delete the yellow bracket there. Delete this entire notice before signing.</w:t>
      </w:r>
    </w:p>
    <w:p>
      <w:pPr>
        <w:pStyle w:val="OAClauseBody"/>
        <w:spacing w:after="280" w:before="0" w:line="340" w:beforeAutospacing="false" w:afterAutospacing="false"/>
        <w:contextualSpacing w:val="false"/>
      </w:pPr>
      <w:r>
        <w:rPr>
          <w:rFonts w:ascii="Arial" w:cs="Arial" w:eastAsia="Arial" w:hAnsi="Arial"/>
          <w:b w:val="false"/>
          <w:bCs w:val="false"/>
          <w:color w:val="1D2021"/>
          <w:sz w:val="22"/>
          <w:szCs w:val="22"/>
          <w:highlight w:val="yellow"/>
          <w:highlightCs w:val="yellow"/>
        </w:rPr>
        <w:t xml:space="preserve">Items requiring confirmation (see the named section of the Standard Terms):</w:t>
      </w:r>
    </w:p>
    <w:p>
      <w:pPr>
        <w:pStyle w:val="Normal"/>
        <w:spacing w:after="0" w:line="0"/>
      </w:pPr>
      <w:r>
        <w:rPr>
          <w:sz w:val="1"/>
          <w:szCs w:val="1"/>
        </w:rPr>
        <w:t xml:space="preserve">{IF covered_employee}</w:t>
      </w:r>
    </w:p>
    <w:p>
      <w:pPr>
        <w:pStyle w:val="Normal"/>
        <w:spacing w:after="0" w:line="0"/>
      </w:pPr>
      <w:r>
        <w:rPr>
          <w:sz w:val="1"/>
          <w:szCs w:val="1"/>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b w:val="false"/>
          <w:bCs w:val="false"/>
          <w:color w:val="1D2021"/>
          <w:sz w:val="22"/>
          <w:szCs w:val="22"/>
          <w:highlight w:val="yellow"/>
          <w:highlightCs w:val="yellow"/>
        </w:rPr>
        <w:t xml:space="preserve">• CHOICE Act Counsel Advisal and Notice (Covered Employee) — for more details see https://openagreements.org/legal/non-compete/florida</w:t>
      </w:r>
    </w:p>
    <w:p>
      <w:pPr>
        <w:pStyle w:val="Normal"/>
        <w:spacing w:after="0" w:line="0"/>
      </w:pPr>
      <w:r>
        <w:rPr>
          <w:sz w:val="1"/>
          <w:szCs w:val="1"/>
        </w:rPr>
        <w:t xml:space="preserve">{END-IF}</w:t>
      </w:r>
    </w:p>
    <w:p>
      <w:pPr>
        <w:pStyle w:val="Normal"/>
        <w:spacing w:after="0" w:line="0"/>
      </w:pPr>
      <w:r>
        <w:rPr>
          <w:sz w:val="1"/>
          <w:szCs w:val="1"/>
        </w:rPr>
        <w:t xml:space="preserve">{END-IF}</w:t>
      </w:r>
    </w:p>
    <w:p>
      <w:pPr>
        <w:pStyle w:val="Normal"/>
        <w:spacing w:after="0" w:line="0"/>
      </w:pPr>
      <w:r>
        <w:rPr>
          <w:sz w:val="1"/>
          <w:szCs w:val="1"/>
        </w:rPr>
        <w:t xml:space="preserve">{END-IF}</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employer_parent_name}Employer Parent Entity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{employer_parent_name}{END-IF}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employer_operating_affiliate_name}Operating / Service-Recipient Affiliate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{employer_operating_affiliate_name}{END-IF}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employee_nonsolicit_included}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customer_nonsolicit_included}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nondealing_included}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noninvestment_included}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garden_leave_included}Covered Employee Garden Leave (CHOICE Act)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garden_leave_included}</w:t>
            </w:r>
          </w:p>
          <w:p>
            <w:pPr>
              <w:pStyle w:val="Normal"/>
              <w:spacing w:after="0" w:before="0" w:line="340"/>
            </w:pPr>
            <w:r>
              <w:rPr>
                <w:rFonts w:ascii="Arial" w:cs="Arial" w:eastAsia="Arial" w:hAnsi="Arial"/>
                <w:b w:val="false"/>
                <w:bCs w:val="false"/>
                <w:i/>
                <w:iCs/>
                <w:color w:val="494A4B"/>
                <w:sz w:val="20"/>
                <w:szCs w:val="20"/>
              </w:rPr>
              <w:t xml:space="preserve">Garden Leave Notice Period</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{garden_leave_notice_duration}{END-IF}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“Affiliates”</w:t>
      </w:r>
      <w:r>
        <w:rPr>
          <w:rFonts w:ascii="Arial" w:cs="Arial" w:eastAsia="Arial" w:hAnsi="Arial"/>
          <w:color w:val="1D2021"/>
          <w:sz w:val="22"/>
          <w:szCs w:val="22"/>
        </w:rPr>
        <w:t xml:space="preserve"> means, with respect to Employer, any entity that directly or indirectly controls, is controlled by, or is under common control with Employer, including Employer's direct and indirect parent entities, subsidiaries, and any sister or operating entity under common control (for example, where the named Employer is a dedicated employment entity and the operating business is conducted through a commonly controlled affiliate). For this purpose, "control" means the power to direct the management and policies of an entity, whether through ownership of voting securities, by contract, or otherwise.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patients, clients,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“Legitimate Business Interests”</w:t>
      </w:r>
      <w:r>
        <w:rPr>
          <w:rFonts w:ascii="Arial" w:cs="Arial" w:eastAsia="Arial" w:hAnsi="Arial"/>
          <w:color w:val="1D2021"/>
          <w:sz w:val="22"/>
          <w:szCs w:val="22"/>
        </w:rP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patient, and business-partner relationships, customer and patient goodwill, workforce stability, and any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1.11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1.12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the Florida Uniform Trade Secrets Act, Fla. Stat. § 688.002.</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Recitals and Legitimate Business Interest.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and Employee acknowledge and agree that the restrictive covenants in this agreement are supported by, and reasonably necessary to protect, one or more of Employer's Legitimate Business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reasonably necessary to protect these Protected Interests and are no broader than necessary to do so.</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Florida law, including the Florida Uniform Trade Secrets Act, Fla. Stat. §§ 688.001–688.009.</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Normal"/>
        <w:spacing w:after="0" w:line="0"/>
      </w:pPr>
      <w:r>
        <w:rPr>
          <w:sz w:val="1"/>
          <w:szCs w:val="1"/>
        </w:rPr>
        <w:t xml:space="preserve">{IF employee_nonsolicit_included}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Normal"/>
        <w:spacing w:after="0" w:line="0"/>
      </w:pPr>
      <w:r>
        <w:rPr>
          <w:sz w:val="1"/>
          <w:szCs w:val="1"/>
        </w:rPr>
        <w:t xml:space="preserve">{END-IF}</w:t>
      </w:r>
    </w:p>
    <w:p>
      <w:pPr>
        <w:pStyle w:val="Normal"/>
        <w:spacing w:after="0" w:line="0"/>
      </w:pPr>
      <w:r>
        <w:rPr>
          <w:sz w:val="1"/>
          <w:szCs w:val="1"/>
        </w:rPr>
        <w:t xml:space="preserve">{IF customer_nonsolicit_included}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Non-Solicitation of Customers, Patients,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This covenant is intended to protect Employer's substantial relationships with specific prospective or existing customers, patients, or clients and the associated goodwill, which are Legitimate Business Interests under Fla. Stat. § 542.335(1)(b).</w:t>
      </w:r>
    </w:p>
    <w:p>
      <w:pPr>
        <w:pStyle w:val="Normal"/>
        <w:spacing w:after="0" w:line="0"/>
      </w:pPr>
      <w:r>
        <w:rPr>
          <w:sz w:val="1"/>
          <w:szCs w:val="1"/>
        </w:rPr>
        <w:t xml:space="preserve">{END-IF}</w:t>
      </w:r>
    </w:p>
    <w:p>
      <w:pPr>
        <w:pStyle w:val="Normal"/>
        <w:spacing w:after="0" w:line="0"/>
      </w:pPr>
      <w:r>
        <w:rPr>
          <w:sz w:val="1"/>
          <w:szCs w:val="1"/>
        </w:rPr>
        <w:t xml:space="preserve">{IF nondealing_included}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intended to protect Employer's substantial relationships with specific prospective or existing customers, patients, or clients and the associated goodwill, which are Legitimate Business Interests under Fla. Stat. § 542.335(1)(b).</w:t>
      </w:r>
    </w:p>
    <w:p>
      <w:pPr>
        <w:pStyle w:val="Normal"/>
        <w:spacing w:after="0" w:line="0"/>
      </w:pPr>
      <w:r>
        <w:rPr>
          <w:sz w:val="1"/>
          <w:szCs w:val="1"/>
        </w:rPr>
        <w:t xml:space="preserve">{END-IF}</w:t>
      </w:r>
    </w:p>
    <w:p>
      <w:pPr>
        <w:pStyle w:val="Normal"/>
        <w:spacing w:after="0" w:line="0"/>
      </w:pPr>
      <w:r>
        <w:rPr>
          <w:sz w:val="1"/>
          <w:szCs w:val="1"/>
        </w:rPr>
        <w:t xml:space="preserve">{IF noncompete_included}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reasonably necessary to protect Employer's Legitimate Business Interests under Fla. Stat. § 542.335(1)(b), and its duration is intended to fall within the presumptively reasonable window under Fla. Stat. § 542.335(1)(d)–(e) for the applicable relationship. Passive Public Holdings are permitted.</w:t>
      </w:r>
    </w:p>
    <w:p>
      <w:pPr>
        <w:pStyle w:val="Normal"/>
        <w:spacing w:after="0" w:line="0"/>
      </w:pPr>
      <w:r>
        <w:rPr>
          <w:sz w:val="1"/>
          <w:szCs w:val="1"/>
        </w:rPr>
        <w:t xml:space="preserve">{END-IF}</w:t>
      </w:r>
    </w:p>
    <w:p>
      <w:pPr>
        <w:pStyle w:val="Normal"/>
        <w:spacing w:after="0" w:line="0"/>
      </w:pPr>
      <w:r>
        <w:rPr>
          <w:sz w:val="1"/>
          <w:szCs w:val="1"/>
        </w:rPr>
        <w:t xml:space="preserve">{IF noninvestment_included}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pPr>
        <w:pStyle w:val="Normal"/>
        <w:spacing w:after="0" w:line="0"/>
      </w:pPr>
      <w:r>
        <w:rPr>
          <w:sz w:val="1"/>
          <w:szCs w:val="1"/>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licensed under chapter 458 or chapter 459 of the Florida Statutes, then notwithstanding any other provision of this agreement, the non-compete restrictions in this agreement do not apply, and are void and unenforceable, to the extent that Fla. Stat. § 542.336 so provides. Under Fla. Stat. § 542.336, a restrictive covenant is void and unenforceable against such a physician who practices a medical specialty in a county where one entity (directly or through one or more related or affiliated entities) employs or contracts with all physicians who practice that specialty in that county, and the covenant remains void for three years after a second entity that employs or contracts with one or more physicians who practice that specialty begins offering that specialty in that county. Nothing in this agreement may be construed to restrict a physician Employee in violation of Fla. Stat. § 542.336.</w:t>
      </w:r>
    </w:p>
    <w:p>
      <w:pPr>
        <w:pStyle w:val="Normal"/>
        <w:spacing w:after="0" w:line="0"/>
      </w:pPr>
      <w:r>
        <w:rPr>
          <w:sz w:val="1"/>
          <w:szCs w:val="1"/>
        </w:rPr>
        <w:t xml:space="preserve">{IF covered_employee}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CHOICE Act Counsel Advisal and Notice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b/>
          <w:bCs/>
          <w:color w:val="1D2021"/>
          <w:sz w:val="22"/>
          <w:szCs w:val="22"/>
          <w:highlight w:val="yellow"/>
          <w:highlightCs w:val="yellow"/>
        </w:rPr>
        <w:t xml:space="preserve">[CONFIRM before signing: the written right-to-counsel advisal and at least 7-day advance notice were actually given before signing; see https://openagreements.org/legal/non-compete/florida]</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Normal"/>
        <w:spacing w:after="0" w:line="0"/>
      </w:pPr>
      <w:r>
        <w:rPr>
          <w:sz w:val="1"/>
          <w:szCs w:val="1"/>
        </w:rPr>
        <w:t xml:space="preserve">{END-IF}</w:t>
      </w:r>
    </w:p>
    <w:p>
      <w:pPr>
        <w:pStyle w:val="Normal"/>
        <w:spacing w:after="0" w:line="0"/>
      </w:pPr>
      <w:r>
        <w:rPr>
          <w:sz w:val="1"/>
          <w:szCs w:val="1"/>
        </w:rPr>
        <w:t xml:space="preserve">{IF covered_employee}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CHOICE Act Confidential Information Acknowledgement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is a covered employee under the Florida Contracts Honoring Opportunity, Investment, Confidentiality, and Economic Growth (CHOICE) Act, Fla. Stat. §§ 542.41–542.45. 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Legitimate Business Interests above.</w:t>
      </w:r>
    </w:p>
    <w:p>
      <w:pPr>
        <w:pStyle w:val="Normal"/>
        <w:spacing w:after="0" w:line="0"/>
      </w:pPr>
      <w:r>
        <w:rPr>
          <w:sz w:val="1"/>
          <w:szCs w:val="1"/>
        </w:rPr>
        <w:t xml:space="preserve">{END-IF}</w:t>
      </w:r>
    </w:p>
    <w:p>
      <w:pPr>
        <w:pStyle w:val="Normal"/>
        <w:spacing w:after="0" w:line="0"/>
      </w:pPr>
      <w:r>
        <w:rPr>
          <w:sz w:val="1"/>
          <w:szCs w:val="1"/>
        </w:rPr>
        <w:t xml:space="preserve">{IF garden_leave_included}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CHOICE Act Garden Leave and Day-for-Day Offset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includes a covered garden leave agreement within the meaning of Fla. Stat. § 542.43(5), under which Employer and Employee agree to a garden-leave notice period of {garden_leave_notice_duration} before the termination of employment, which may not exceed four years (Fla. Stat. § 542.43(5)). The non-compete Restricted Period is reduced day-for-day by any nonworking portion of the garden-leave notice period, pursuant to Fla. Stat. § 542.45(2)(c). After the first 90 days of the notice period, Employee need not provide services to Employer and may engage in nonwork activities during the remainder of the notice period; Employee may work for another employer during the remainder of the notice period only with Employer's permission, as provided in Fla. Stat. § 542.44(2)(c). The counsel-advisal, seven-day-notice, and written confidential-information-acknowledgement requirements of Fla. Stat. § 542.44(2)–(3) apply to this garden leave agreement; the corresponding provisions of this agreement (the CHOICE Act Counsel Advisal and Notice provision, if included, and the CHOICE Act Confidential Information Acknowledgement provision) are intended to address them.</w:t>
      </w:r>
    </w:p>
    <w:p>
      <w:pPr>
        <w:pStyle w:val="Normal"/>
        <w:spacing w:after="0" w:line="0"/>
      </w:pPr>
      <w:r>
        <w:rPr>
          <w:sz w:val="1"/>
          <w:szCs w:val="1"/>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The parties agree that the violation of an enforceable restrictive covenant creates a presumption of irreparable injury under Fla. Stat. § 542.335(1)(j), and Employer may seek injunctive or other equitable relief in addition to any other remedies available at law. For a covered-employee non-compete enforceable under the CHOICE Act, a court must, on Employer's application, preliminarily enjoin Employee from competing during the noncompete period, dissolvable only by Employee's clear and convincing evidence as provided in Fla. Stat. § 542.45(5). If Employer prevails in any action to enforce this agreement, Employee must reimburse Employer's reasonable attorney's fees and costs.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Enforceability, Severability, and Reformation.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Fla. Stat. § 542.335(1)(c), if a court finds that any restraint in this agreement is overbroad, overlong, or otherwise not reasonably necessary to protect Employer's Legitimate Business Interests, Employer requests, and the parties agree, that the court shall modify the restraint and grant only the relief reasonably necessary to protect those interests. The parties intend that each restrictive covenant in this agreement be enforced to the fullest extent permitted by Florida law, and that any overbroad or overlong term be judicially modified rather than voided. The parties further acknowledge that, under Fla. Stat. § 542.335(1)(g)1 and (1)(h), a court shall not consider any individualized economic or other hardship to Employee and shall construe this agreement in favor of providing reasonable protection to Employer's Legitimate Business Interests.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22.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23.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and the restrictive covenants in it, to Employer's direct corporate parent (identified in Cover Terms under Employer Parent Entity, if any), to any of Employer's Affiliates, or to any successor or acquirer of all or substantially all of Employer's business or assets. Pursuant to Fla. Stat. § 542.335(1)(f), Employer expressly authorizes enforcement of the restrictive covenants in this agreement by Employer's assignee or successor. The parties further expressly identify, as third-party beneficiaries of this agreement entitled to enforce the restrictive covenants for their own benefit, each of the following: Employer's direct corporate parent (as identified in Cover Terms, if any); the operating or service-recipient Affiliate identified in Cover Terms (if any) on whose behalf Employee performs services or that holds any of the Protected Interests; Employer's Affiliates, including any operating company or commonly controlled entity on whose behalf Employee performs services or that holds any of the Protected Interests; and any successor or assignee of Employer. The parties expressly state that the restrictive covenants are intended for the benefit of each such expressly-identified person, as required by Fla. Stat. § 542.335(1)(f)1. This agreement is binding on and inures to the benefit of the parties and their respective heirs, successors, third-party beneficiaries,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24.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Fla. Stat. §§ 542.335 and 542.336 and, where applicable, the CHOICE Act, Fla. Stat. §§ 542.41–542.45.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25.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EMPLOYER</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 Id="rId14" Type="http://schemas.openxmlformats.org/officeDocument/2006/relationships/theme" Target="theme/theme1.xml"/><Relationship Id="rId15"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2026-06-08T17:35:04.905Z</dcterms:created>
  <dcterms:modified xsi:type="dcterms:W3CDTF">2026-06-08T17:35:04.905Z</dcterms:modified>
</cp:coreProperties>
</file>

<file path=docProps/custom.xml><?xml version="1.0" encoding="utf-8"?>
<Properties xmlns="http://schemas.openxmlformats.org/officeDocument/2006/custom-properties" xmlns:vt="http://schemas.openxmlformats.org/officeDocument/2006/docPropsVTypes"/>
</file>