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This carve-out applies as a matter of contract whether or not a specific state invention-assignment statute applies. The Prior Inventions and Excluded Inventions identified in Cover Terms are also carved out and remain Employee's property.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(including conduct protected under laws such as California Labor Code Section 96(k)),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