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Alaska</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rPr>
              <w:t xml:space="preserve">employment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covenant may protect under Alaska's common-law reasonableness rule, namely Employer's Confidential Information, Employer's trade secrets as defined by the Alaska Uniform Trade Secrets Act (AS 45.50.940),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reasonably necessary for that protection. The parties acknowledge that each covenant is meant to guard Employer's Confidential Information, trade secrets, and customer goodwill and not to eliminate ordinary competition, and that each restraint is intended to be no broader than reasonably necessary in duration, geographic scope, and activity to protect the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Because this agreement may be signed at the outset of employment or during employment, the parties recite the actual exchange supporting the covenants — which may include initial or continued employment, access to Confidential Information and customer relationships, training, compensation, a raise, or a bonus — as evidence of the consideration given.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so each covenant remains independently subject to the reasonableness limits stated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Confidential Information and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information and customers Employer procured at its own expense; it reaches only Covered Customers with whom Employee had material contact and leaves Employee free to compete generally. This covenant does not apply where Employee had no access to Confidential Information relating to the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intend it to remain limited to the customers and information Employer procured at its own expense and not to expand into a bar prohibiting Employee from practicing his or her specialty; the parties intend this covenant to be narrowed to that limit rather than to fail. It reaches only Covered Customers with whom Employee had material contact and to whom Employee had access to Confidential Information.</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The parties intend this covenant to be reasonably necessary to protect Employer's Protected Interests and no broader than needed,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any covenant tied to that sale is drafted as a covenant against competition that protects the goodwill the buyer purchased, and not as a ban on practicing a profession in any capacity or as an ordinary employment restraint. The parties intend any such covenant to be reasonably necessary to protect that purchased goodwill and no broader than needed, weighing the buyer's interest in the goodwill against the hardship to the seller and any injury to the public, rather than to rely on a radius-and-duration check alone.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Any covenant in this agreement restraining Employee from the practice of a health-care profession is intended to use a narrow radius and a short term, to preserve patient access and continuity of care, and to be reasonably necessary and no broader than needed to protect Employer's Protected Interests. Where the restrained work would affect free or low-cost care for a population in need, the parties intend any such covenant to be weighed against the injury to the public's access to that care, not against radius and duration alone.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remains subject to the reasonableness limits stated in this agreement.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Alaska Uniform Trade Secrets Act, under which a court may enjoin actual or threatened misappropriation of a trade secret (AS 45.50.910(a))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Reasonable Alteration</w:t>
      </w:r>
    </w:p>
    <w:p>
      <w:pPr>
        <w:pStyle w:val="OABody"/>
        <w:spacing w:before="0" w:after="120" w:line="340" w:lineRule="auto"/>
        <w:ind w:left="720"/>
      </w:pPr>
      <w:r>
        <w:t xml:space="preserve">Employer requests reasonable alteration only if a restraint in this agreement is found to be overbroad. Each restrictive covenant is drawn as a tiered, severable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covenant tied to a business sale is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No prior or contemporaneous oral promise or side agreement on this subject is part of the parties' bargain or enforceable against either party.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