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Covenant Relationship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{covenant_relationship_type}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whom Employer procured at its own expense and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business interests a covenant may protect under Alaska's common-law reasonableness rule, namely Employer's Confidential Information, Employer's trade secrets as defined by the Alaska Uniform Trade Secrets Act (AS 45.50.940), and Employer's goodwill in its customer, vendor, referral-source, and business-partner relationships,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Alaska Uniform Trade Secrets Act, AS 45.50.940.</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broader than is reasonably necessary for that protection. The parties acknowledge that each covenant is meant to guard Employer's Confidential Information, trade secrets, and customer goodwill and not to eliminate ordinary competition, and that each restraint is intended to be no broader than reasonably necessary in duration, geographic scope, and activity to protect the interest at stake.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Because this agreement may be signed at the outset of employment or during employment, the parties recite the actual exchange supporting the covenants — which may include initial or continued employment, access to Confidential Information and customer relationships, training, compensation, a raise, or a bonus — as evidence of the consideration given.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so each covenant remains independently subject to the reasonableness limits stated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support Employer's protection of its Confidential Information and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is limited to the information and customers Employer procured at its own expense; it reaches only Covered Customers with whom Employee had material contact and leaves Employee free to compete generally. This covenant does not apply where Employee had no access to Confidential Information relating to the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The parties intend it to remain limited to the customers and information Employer procured at its own expense and not to expand into a bar prohibiting Employee from practicing his or her specialty; the parties intend this covenant to be narrowed to that limit rather than to fail. It reaches only Covered Customers with whom Employee had material contact and to whom Employee had access to Confidential Information.</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goodwill — and not to restrain ordinary competition. The parties intend this covenant to be reasonably necessary to protect Employer's Protected Interests and no broader than needed, with its time and territory sized to Employee's actual role and Employer's actual market. If Employer has identified specific competitors in Cover Terms under Specified Competitors, the parties intend this covenant to be understood and, if necessary, enforced as limited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and is drawn no broader than necessary to protect Employer's Protected Interests. Passive Public Holdings are permitted.</w:t>
      </w:r>
    </w:p>
    <w:p>
      <w:r>
        <w:t xml:space="preserve">{END-IF}</w:t>
      </w:r>
    </w:p>
    <w:p>
      <w:r>
        <w:t xml:space="preserve">{IF covenant_relationship_type}</w:t>
      </w:r>
    </w:p>
    <w:p>
      <w:pPr>
        <w:pStyle w:val="OABody"/>
        <w:keepNext/>
        <w:numPr>
          <w:ilvl w:val="0"/>
          <w:numId w:val="1"/>
        </w:numPr>
        <w:spacing w:before="320" w:after="120" w:line="340" w:lineRule="auto"/>
        <w:jc w:val="left"/>
      </w:pPr>
      <w:r>
        <w:rPr>
          <w:b/>
          <w:bCs/>
        </w:rPr>
        <w:t xml:space="preserve">Sale-of-Business Covenants</w:t>
      </w:r>
    </w:p>
    <w:p>
      <w:pPr>
        <w:pStyle w:val="OABody"/>
        <w:spacing w:before="0" w:after="120" w:line="340" w:lineRule="auto"/>
        <w:ind w:left="720"/>
      </w:pPr>
      <w:r>
        <w:t xml:space="preserve">Where the covenant relationship type in Cover Terms is a sale of a business, any covenant tied to that sale is drafted as a covenant against competition that protects the goodwill the buyer purchased, and not as a ban on practicing a profession in any capacity or as an ordinary employment restraint. The parties intend any such covenant to be reasonably necessary to protect that purchased goodwill and no broader than needed, weighing the buyer's interest in the goodwill against the hardship to the seller and any injury to the public, rather than to rely on a radius-and-duration check alone.</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Any covenant in this agreement restraining Employee from the practice of a health-care profession is intended to use a narrow radius and a short term, to preserve patient access and continuity of care, and to be reasonably necessary and no broader than needed to protect Employer's Protected Interests. Where the restrained work would affect free or low-cost care for a population in need, the parties intend any such covenant to be weighed against the injury to the public's access to that care, not against radius and duration alone.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remains subject to the reasonableness limits stated in this agreement.</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Alaska Uniform Trade Secrets Act, under which a court may enjoin actual or threatened misappropriation of a trade secret (AS 45.50.910(a))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Reasonable Alteration</w:t>
      </w:r>
    </w:p>
    <w:p>
      <w:pPr>
        <w:pStyle w:val="OABody"/>
        <w:spacing w:before="0" w:after="120" w:line="340" w:lineRule="auto"/>
        <w:ind w:left="720"/>
      </w:pPr>
      <w:r>
        <w:t xml:space="preserve">Employer requests reasonable alteration only if a restraint in this agreement is found to be overbroad. Each restrictive covenant is drawn as a tiered, severable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Any covenant tied to a business sale is read together with the Sale-of-Business Covenants section.</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whether written or oral. No prior or contemporaneous oral promise or side agreement on this subject is part of the parties' bargain or enforceable against either party.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(Alaska)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