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and the compensation-threshold test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separate, signed advance-notice document required by the Colorado Noncompetition Agreement Act. For a prospective worker the notice must precede acceptance of the offer; for a current worker it must be delivered at least 14 days before the earlier of the covenant's effective date or the effective date of the consideration for the covenant.]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Colorado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Colorado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Highly Compensated Worker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$130,014</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Customer Non-Solicit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$78,008.40</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trade secrets would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Under C.R.S. § 8-2-113(2)(b) and (2)(d), the non-compete and customer non-solicitation exceptions run exclusively through the protection of trade secrets, so those covenants are supported only by, and are drawn no broader than reasonably necessary to protect,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Colorado and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is included solely for the protection of those Trade Secrets and is drawn no broader than reasonably necessary to protect Employer's legitimate interest in protecting them, as required by C.R.S. § 8-2-113(2)(b) and (2)(d). Employer would not provide Employee with access to its Trade Secrets absent the protections in this agreement. The parties intend each covenant to be enforceable as written and drawn within the scope Colorado law permits at the outset, rather than in reliance on any judicial narrowing.</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C.R.S. § 8-2-113(3)(b), this section is a reasonable confidentiality provision relevant to Employer's business and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C.R.S. § 8-2-113(2)(d), this covenant applies, and is enforceable, only if Employee earns annualized cash compensation equivalent to or greater than the Customer Non-Solicit Threshold listed in Cover Terms — which is sixty percent of the highly compensated worker threshold — both at the time this agreement is entered into and at the time the covenant is enforced. This covenant is included solely for the protection of Employer's Trade Secrets and is no broader than reasonably necessary to protect that interest.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applies, and is enforceable, only where a genuine trade-secret interest supports it and Employee earns at or above the applicable earnings threshold under C.R.S. § 8-2-113 both when this agreement is entered into and when the covenant is enforced, and it is drawn no broader than reasonably necessary to protect Employer's Trade Secrets.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and is enforceable, only if Employee earns annualized cash compensation equivalent to or greater than the Highly Compensated Worker Threshold listed in Cover Terms both at the time this agreement is entered into and at the time the covenant is enforced (C.R.S. § 8-2-113(2)(b)), and only as a restraint for the protection of Employer's Trade Secrets that is no broader than reasonably necessary to protect that interest.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C.R.S. § 8-2-113; it therefore applies, and is enforceable, only if Employee earns annualized cash compensation equivalent to or greater than the Highly Compensated Worker Threshold listed in Cover Terms both when this agreement is entered into and when it is enforced, is included solely for the protection of Employer's Trade Secrets, and is drawn no broader than reasonably necessary to protect that interest.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by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in another state may be unenforceable against Employee to the extent Employee now primarily resides and works in Colorado.</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Employer will not present or attempt to enforce a covenant that is void under C.R.S. § 8-2-113.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This agreement does not rely on any savings or reformation clause to cure overbreadth and does not purport to obligate a court to narrow any covenant. Each restrictive covenant is instead drawn within the enforceable scope Colorado law permits at the outset.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(C.R.S. § 8-2-113(6)).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