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Connecticut covenant may protect under the five-factor common-law reasonableness test, namely Employer's Confidential Information, Employer's Trade Secrets, Employer's customer lists,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Connecticut Uniform Trade Secrets Act, Conn. Gen. Stat. § 35-51(d) —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 and under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in time, geographic scope, and the protection it affords, sized to Employee's actual role and Employer's actual market.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Employee is an existing employee signing after employment has begun, the parties agree that Employee's signing this agreement is a condition of Employee's continued employment with Employer, that Employer is providing that continued employment in exchange for Employee's assent to the covenants, that Employee is in fact receiving the continued employment this recital describes, and that the parties intend the continued employment to be connected to the covenants. If this agreement is signed at the outset of employment, the offer and commencement of employment is the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last as long as the information remains a trade secret. Employee's obligations regarding other Confidential Information continue for the period specified in Cover Terms under Other Confidential Information Duration.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These return, deletion, and certification mechanics are part of Employer's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Employee serviced or solicited for Employer, reaches only Covered Customers, and is no broader than necessary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The parties intend this covenant to be reasonable in time and territory, to afford only fair protection to Employer's Protected Interests, and to impose no greater restraint than necessary,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 This covenant is subject to, and does not override, the occupation-specific rules stated below in the Occupation-Specific Limits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is drawn no broader than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Notwithstanding any other provision of this agreement, the following occupation-specific limits apply and control:</w:t>
      </w:r>
    </w:p>
    <w:p>
      <w:pPr>
        <w:pStyle w:val="OABody"/>
        <w:numPr>
          <w:ilvl w:val="2"/>
          <w:numId w:val="1"/>
        </w:numPr>
        <w:spacing w:after="80"/>
      </w:pPr>
      <w:r>
        <w:rPr>
          <w:b/>
          <w:bCs/>
        </w:rPr>
        <w:t xml:space="preserve">Physicians.</w:t>
      </w:r>
      <w:r>
        <w:t xml:space="preserve"> No non-compete in this agreement restricts a physician's competitive activities for more than one year or in a geographic region of more than fifteen miles from the primary site where the physician practices, and no such covenant is enforceable where the contract was not made in anticipation of or as part of a partnership or ownership agreement and expires without a bona fide offer to renew on the same or similar terms, where Employer terminates the relationship other than for cause, or where the physician did not agree to a proposed material change to the compensation terms before an extension or renewal that then expires unrenewed or is terminated by Employer without cause (Conn. Gen. Stat. § 20-14p(b)).</w:t>
      </w:r>
    </w:p>
    <w:p>
      <w:pPr>
        <w:pStyle w:val="OABody"/>
        <w:numPr>
          <w:ilvl w:val="2"/>
          <w:numId w:val="1"/>
        </w:numPr>
        <w:spacing w:after="80"/>
      </w:pPr>
      <w:r>
        <w:rPr>
          <w:b/>
          <w:bCs/>
        </w:rPr>
        <w:t xml:space="preserve">Physician assistants and advanced practice registered nurses.</w:t>
      </w:r>
      <w:r>
        <w:t xml:space="preserve"> No non-compete in this agreement restricts a physician assistant's or an advanced practice registered nurse's competitive activities for more than one year or in a geographic region of more than fifteen miles from the primary site where the worker practices, and each such covenant carries the same non-renewal and termination-without-cause limits as the physician cap above (Conn. Gen. Stat. §§ 20-12k(b)(2), 20-101d(b)(2)).</w:t>
      </w:r>
    </w:p>
    <w:p>
      <w:pPr>
        <w:pStyle w:val="OABody"/>
        <w:numPr>
          <w:ilvl w:val="2"/>
          <w:numId w:val="1"/>
        </w:numPr>
        <w:spacing w:after="80"/>
      </w:pPr>
      <w:r>
        <w:rPr>
          <w:b/>
          <w:bCs/>
        </w:rPr>
        <w:t xml:space="preserve">Security guards.</w:t>
      </w:r>
      <w:r>
        <w:t xml:space="preserve"> This agreement does not require Employee, if employed in classification 339032 of the federal standard occupational classification system (security guards), to refrain from engaging in the same or a similar job, at the same location at which Employer employs Employee, for another employer or as a self-employed person, unless Employer proves that Employee obtained trade secrets of Employer as defined in Conn. Gen. Stat. § 35-51(d) (§ 31-50a(a)).</w:t>
      </w:r>
    </w:p>
    <w:p>
      <w:pPr>
        <w:pStyle w:val="OABody"/>
        <w:numPr>
          <w:ilvl w:val="2"/>
          <w:numId w:val="1"/>
        </w:numPr>
        <w:spacing w:after="80"/>
      </w:pPr>
      <w:r>
        <w:rPr>
          <w:b/>
          <w:bCs/>
        </w:rPr>
        <w:t xml:space="preserve">Broadcast employees.</w:t>
      </w:r>
      <w:r>
        <w:t xml:space="preserve"> If Employer is a broadcast industry employer and Employee is a broadcast employee, this agreement does not require Employee to refrain from obtaining employment in a specified geographical area for a specified period after termination, to disclose the terms, conditions, or existence of an offer from another broadcast industry employer after the contract term, or to enter into, extend, or renew a contract with Employer on the terms a prospective employer offered (Conn. Gen. Stat. § 31-50b(b)).</w:t>
      </w:r>
    </w:p>
    <w:p>
      <w:pPr>
        <w:pStyle w:val="OABody"/>
        <w:numPr>
          <w:ilvl w:val="2"/>
          <w:numId w:val="1"/>
        </w:numPr>
        <w:spacing w:after="80"/>
      </w:pPr>
      <w:r>
        <w:rPr>
          <w:b/>
          <w:bCs/>
        </w:rPr>
        <w:t xml:space="preserve">Homemaker, companion, and home-health workers.</w:t>
      </w:r>
      <w:r>
        <w:t xml:space="preserve"> No covenant not to compete in this agreement applies to a worker covered by Connecticut's homemaker, companion, and home-health services statute, and no no-hire clause between a homemaker-companion agency and a client applies (Conn. Gen. Stat. §§ 20-681, 20-683(b)).</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so that Employer receives the full duration of the restriction it bargained for. Any such extension is itself a separate, breach-tied restraint that must remain reasonable and bounded; the parties do not intend an open-ended or indefinite extension, and do not assume a court will revive a covenant after its stated period has expired.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Connecticut Uniform Trade Secrets Act, Conn. Gen. Stat. § 35-52(a). Any fee-shifting between the parties is mutual and prevailing-party based; the parties otherwise leave the American Rule in place.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 customer-specific alternatives beneath broader restraints, and distinct duration and geography steps — so that a court's refusal to enforce one covenant does not affect the others and a court has cleaner text to enforce or strike.</w:t>
      </w:r>
    </w:p>
    <w:p>
      <w:pPr>
        <w:pStyle w:val="OABody"/>
        <w:keepNext/>
        <w:numPr>
          <w:ilvl w:val="0"/>
          <w:numId w:val="1"/>
        </w:numPr>
        <w:spacing w:before="320" w:after="120" w:line="340" w:lineRule="auto"/>
        <w:jc w:val="left"/>
      </w:pPr>
      <w:r>
        <w:rPr>
          <w:b/>
          <w:bCs/>
        </w:rPr>
        <w:t xml:space="preserve">No Reliance on Judicial Narrowing</w:t>
      </w:r>
    </w:p>
    <w:p>
      <w:pPr>
        <w:pStyle w:val="OABody"/>
        <w:spacing w:before="0" w:after="120" w:line="340" w:lineRule="auto"/>
        <w:ind w:left="720"/>
      </w:pPr>
      <w:r>
        <w:t xml:space="preserve">This agreement does not rely on any savings or reformation clause to cure overbreadth and does not purport to obligate a court to supply a new radius, duration, or job-function limit of its own. Each restrictive covenant is instead drawn as a separable, tiered, reasonable restraint sized to the Protected Interests from the start and is intended to be enforceable as written rather than in reliance on discretionary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survives independently of the others.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