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District of Columbia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Minimum Qualifying Annual Compensation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{minimum_qualifying_compensation}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Medical Specialist Minimum Compensation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{medical_specialist_threshold}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This defined contract term is distinct from the statutory term "covered employee" in D.C. Code § 32-581.01(6), which refers to a worker the non-compete ban protects.</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under § 32-581.01(2) — is excluded from this category and may not be bound by a non-compete at any compensation level.</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 The District's non-compete definition carves out restrictions protecting the employer's confidential and proprietary information (D.C. Code § 32-581.01(15)(B)(i)), and its Uniform Trade Secrets Act supplies an injunction against actual or threatened misappropriation (D.C. Code § 36-402), so those information interests are the interests this agreement is drawn to protect.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District of Columbia and federal law, including information that derives independent economic value from not being generally known to, and not being readily ascertainable through proper means by, another person who can obtain economic value from its disclosure or use (see the District's Uniform Trade Secrets Act, D.C. Code § 36-401, and the federal Defend Trade Secrets Act, 18 U.S.C. § 1839(3)).</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is included for the protection of Employer's Protected Interests and drawn no broader than reasonably necessary to protect them. The parties intend each covenant to be enforceable as written and drawn within the scope District of Columbia law permits at the outset, rather than in reliance on any judicial narrowing.</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applies to, and is enforceable against, Employee only if Employee is a Highly Compensated Employee, and never applies to a covered employee — a District-based worker below the Minimum Qualifying Annual Compensation who spends more than 50% of work time for Employer in the District, or whose District-based employment involves substantial District work and not more than half elsewhere (D.C. Code § 32-581.01(6)). Such a provision is void as a matter of law for a covered employee under D.C. Code § 32-581.02(a). Coverage keys to where Employee works, not to the Governing Law named in Cover Terms. The confidentiality, non-solicitation, and non-disparagement obligations below do not depend on that classification.</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with a Highly Compensated Employee, Employer provided the non-compete provision to Employee in writing on the Advance Delivery Date listed in Cover Terms — at least 14 days before Employee commenced employment for Employer or, if Employer already employed Employee, at least 14 days before Employee had to execute this agreement, as required by D.C. Code § 32-581.03(a)(2). Nothing in this agreement restricts or delays any notice or written disclosure that applicable law requires Employer to provide in connection with a non-compete provision, including the statutory notice under D.C. Code § 32-581.03a(b) and any workplace-policy carve-out disclosure under D.C. Code § 32-581.03a(a); those are companion writings delivered outside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 restriction on disclosing, using, selling, or accessing Employer's confidential and proprietary information within the carve-out to the non-compete definition (D.C. Code § 32-581.01(15)(B)(i)); it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District of Columbia Office of the Attorney General,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so it sits outside the non-compete definition in D.C. Code § 32-581.01(15); it is included solely for the protection of Employer's Protected Interests and drawn no broader than reasonably necessary to protect them. It is confined to Employee's own solicitation of Covered Employees and does not restrict the mobility of Employer's workforce generally.</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bars solicitation of a defined set of relationships; it does not prohibit Employee from performing work for another for pay or operating Employee's own business, so it sits outside the non-compete definition in D.C. Code § 32-581.01(15). It is included solely for the protection of Employer's Protected Interests and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applies to, and is enforceable against, Employee only if Employee is a Highly Compensated Employee at the time it is proposed; it does not apply to a covered employee, for whom such a provision is void as a matter of law under D.C. Code § 32-581.02(a). The functional scope of the restriction is limited to the services, roles, industry, or competing entities set out in Cover Terms under Competitive Business and any Specified Competitors, and to the geographical limitations set out under Restricted Territory. The term of the restriction does not exceed 365 calendar days from the date Employee separates from employment, or 730 calendar days if Employee is a Medical Specialist, and the stated Non-Competition Duration in Cover Terms must not exceed the applicable calendar-day cap. Employer provided this provision to Employee in writing at least 14 days in advance and gave the prescribed statutory notice, as recited in the Timing, Consideration, and Advance Delivery section. This covenant is drawn to satisfy each condition of D.C. Code § 32-581.03(a).</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A covenant not to compete claiming the sale-of-business exclusion is outside the scope of this employee restrictive covenant agreement. That exclusion reaches only a covenant contained within, or executed contemporaneously with, an agreement between the seller of a business and one or more buyers of that business in which the seller agrees not to compete with the buyer's business (D.C. Code § 32-581.01(15)(A)). A covenant papering Employee as an employee rather than as a selling owner does not fit that exclusion. No provision of this agreement acquires sale-of-business status through assignment or an acquisition of Employer.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is not automatically dissolved by the District's ban and may be litigated by the prior employer in another forum, so any such obligation should be surfaced at signing.</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the obligation disclosed remains lawful and enforceable against Employee in the District — a confidentiality or trade-secret duty, or a Non-Competition covenant that satisfies every D.C. Code § 32-581.03(a) gate. Employer will not present or attempt to enforce a non-compete provision that D.C. Code § 32-581.02 voids.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Employer's trade-secret remedy is independent of any covenant: actual or threatened misappropriation of a trade secret may be enjoined under the District's Uniform Trade Secrets Act (D.C. Code § 36-402). Employer will not seek to enforce a non-compete provision against a covered employee, for whom such a provision is void under D.C. Code § 32-581.02(a).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to cure overbreadth and does not ask a court to enforce any covenant to the maximum extent permitted. For a covered employee a non-compete provision is void as a matter of law under D.C. Code § 32-581.02(a), and for a Highly Compensated Employee a covenant that misses a D.C. Code § 32-581.03(a) element is not valid and enforceable; each restrictive covenant is instead drawn within the enforceable scope District of Columbia law permits at the outset. A plain severability clause preserving the remainder of the agreement is not a reformation clause.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survives only as a calendar-day count from separation within the applicable statutory cap, and no covenant survives that D.C. Code § 32-581.02 voids.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 void non-compete provision arrives at the buyer just as void, and an employee-side covenant does not acquire sale-of-business status by riding through an acquisition.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Coverage under the District's non-compete ban keys to where Employee works, not to the law named here, so for a worker who spends more than 50% of work time for Employer in the District — or whose District-based role involves substantial District work — the District's ban applies whatever the Governing Law clause says (D.C. Code § 32-581.01(6)). For such a worker the parties select District of Columbia law and a District of Columbia forum for disputes over the enforceability of the covenants. Nothing in the District's chapter supersedes the terms of a valid collective bargaining agreement (D.C. Code § 32-581.04a); where one governs the relationship, its terms control.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entering into a new or amended agreement is a fresh entry into the District's non-compete regime as of its date and, for a Highly Compensated Employee non-compete, restarts the 14-day advance-delivery requirement of D.C. Code § 32-581.03(a)(2).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