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healthcare_provider}</w:t>
            </w:r>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{healthcare_provider}</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{idaho_added_consideration}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within the meaning of Idaho Code sections 44-2701 and 44-2702, including Employer's goodwill, technologies, intellectual property, business plans, business processes and methods of operation, customers, customer lists, customer contacts and referral sources, vendors and vendor contacts, financial and marketing information, and trade secrets as defined by chapter 8, title 48, Idaho Code.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Legitimate Business Interests</w:t>
      </w:r>
    </w:p>
    <w:p>
      <w:pPr>
        <w:pStyle w:val="OABody"/>
        <w:spacing w:before="0" w:after="120" w:line="340" w:lineRule="auto"/>
        <w:ind w:left="720"/>
      </w:pPr>
      <w:r>
        <w:t xml:space="preserve">Employer and Employee acknowledge that each restrictive covenant in this agreement is entered to protect one or more of Employer's Protected Interests and is intended to be no greater a restraint than is reasonably necessary to protect those interests, as Idaho Code section 44-2701 requires. Any covenant not to compete in this agreement is enforceable under Idaho Code section 44-2701 only against a key employee or key independent contractor as defined in Idaho Code section 44-2702, and Employee acknowledges being a key employee or key independent contractor within the meaning of that section. Idaho Code section 44-2701 reaches key independent contractors, so this acknowledgement applies whether Employee is engaged as an employee or as an independent contractor.</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The parties agree that the restrictive covenants in this agreement are supported by </w:t>
      </w:r>
      <w:r>
        <w:rPr>
          <w:highlight w:val="yellow"/>
        </w:rPr>
        <w:t xml:space="preserve">{idaho_added_consideration}</w:t>
      </w:r>
      <w:r>
        <w:t xml:space="preserve">. The parties acknowledge that, under Idaho Code section 44-2704(1), a post-employment restriction of direct competition may not exceed eighteen months from termination unless consideration in addition to employment or continued employment is given to Employee, and that continued employment alone is sufficient consideration for a direct-competition restriction of eighteen months or less.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 These confidentiality and trade-secret obligations stand independent of the restrictive covenants in this agreement and survive on their own footing.</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Because Solicit is limited to an overt act by Employee seeking the Covered Customer's business, this covenant does not restrain Employee's mere acceptance of business a Covered Customer initiates or ordinary communication between Employee and a Covered Customer. This covenant protects Employer's legitimate business interest in its relationships with specific customers, customer contacts, referral sources, vendors, and business partners under Idaho Code section 44-2702.</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reaches business a Covered Customer initiates, which is broader than the non-solicitation covenant. This covenant is intended to be enforced only to the extent Idaho law permits.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This covenant is enforceable under Idaho Code section 44-2701 only against a key employee or key independent contractor and only to the extent it protects Employer's Protected Interests and is reasonable as to duration, geographic area, and type of employment or line of business, imposing no greater restraint than reasonably necessary. The Restricted Territory is drawn to the areas where Employee provided services or had a significant presence or influence, and the Competitive Business is drawn to the type of employment or line of business Employee conducted for Employer, so that the covenant qualifies for the Idaho Code section 44-2704(3) and (4) reasonableness presumptions. The Non-Competition Duration is intended to be eighteen months or less to qualify for the Idaho Code section 44-2704(2) duration presumption; any longer term is supported only by the additional consideration recited in this agreement, as Idaho Code section 44-2704(1) requires.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an Idaho court may treat it as a covenant not to compete under Idaho Code chapter 44-27; it therefore applies only to a key employee or key independent contractor, is limited to the restraint reasonably necessary to protect Employer's Protected Interests, and shares the eighteen-month planning cap and duration presumption that govern the non-compete in this agreement.</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under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 Nothing in this section enlarges any restraint beyond what Idaho Code sections 44-2701 through 44-2704 permit.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will make any such disclosure only as to a covenant that satisfies the Idaho statutory gates.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This section is intended to operate only to the extent Idaho law permits.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subject to the court's weighing of the public interest before enjoining Employee. Independent of any covenant, the Idaho Trade Secrets Act authorizes an injunction against actual or threatened misappropriation of a trade secret under Idaho Code section 48-802. Unless the agreement otherwise provides, each party bears its own attorney fees and costs under the American Rule; any fee-shifting the parties adopt is intended to be mutual and prevailing-party based.</w:t>
      </w:r>
    </w:p>
    <w:p>
      <w:pPr>
        <w:pStyle w:val="OABody"/>
        <w:keepNext/>
        <w:numPr>
          <w:ilvl w:val="0"/>
          <w:numId w:val="1"/>
        </w:numPr>
        <w:spacing w:before="320" w:after="120" w:line="340" w:lineRule="auto"/>
        <w:jc w:val="left"/>
      </w:pPr>
      <w:r>
        <w:rPr>
          <w:b/>
          <w:bCs/>
        </w:rPr>
        <w:t xml:space="preserve">Reformation and Severability</w:t>
      </w:r>
    </w:p>
    <w:p>
      <w:pPr>
        <w:pStyle w:val="OABody"/>
        <w:spacing w:before="0" w:after="120" w:line="340" w:lineRule="auto"/>
        <w:ind w:left="720"/>
      </w:pPr>
      <w:r>
        <w:t xml:space="preserve">If any restrictive covenant in this agreement is found unreasonable in any respect, the parties request that the court limit or modify it as necessary to reflect the parties' intent and render it reasonable, and specifically enforce it as limited or modified, as Idaho Code section 44-2703 provides. This modification duty is statutory and does not depend on any savings clause. The parties intend each restrictive covenant to give the court complete, severable terms — duration, geography, work scope, and the Protected Interest each covenant serves — that a court can narrow simply and accurately. If any provision of this agreement is found unenforceable and cannot be so modified, the remaining provisions remain in full force and effect, and each restrictive covenant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each duration remains independently checkable.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 The eighteen-month limit attaches to the direct-competition restraint specifically, and no bundled survival term is intended to extend that restraint beyond what Idaho Code section 44-2704 permits.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the key-worker analysis turns on what this Employer invested in this Employee, so a successor enforcing an assigned covenant inherits the same threshold showing.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and any such stipulation is void under Idaho Code section 29-110(1).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