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 Consideration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{ma_noncompete_consideration}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Mass. Gen. Laws ch. 149, § 24L(b)(iii) permits a noncompetition agreement to protect: Employer's trade secrets, Employer's Confidential Information that would not otherwise qualify as a trade secret, and Employer's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one or more of the legitimate business interests that Mass. Gen. Laws ch. 149, § 24L(b)(iii) permits a noncompetition agreement to protect: (A) Employer's trade secrets; (B) Employer's Confidential Information that would not otherwise qualify as a trade secret; or (C) Employer's goodwill. The parties acknowledge that, under Massachusetts law, protection from ordinary competition is not a legitimate business interest.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(Mass. Gen. Laws ch. 149, § 24L(b)(i)).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(Mass. Gen. Laws ch. 149, § 24L(b)(ii)). Employee acknowledges that the restrictions in this agreement are reasonable and necessary to protect Employer's Protected Interests. If the employment relationship later changes materially, Employer may ask Employee to execute a new agreement that complies with the statute then in effect.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Massachusetts law, including the Massachusetts Uniform Trade Secrets Act, Mass. Gen. Laws ch. 93, §§ 42–42G.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is a covenant not to solicit Employer's customers, clients, or vendors and, under Mass. Gen. Laws ch. 149, § 24L(a), it is not a noncompetition agreement subject to that section's garden-leave, duration, and notice requirements; it is governed by common-law reasonableness and protects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As a covenant not to transact business with Employer's customers, clients, or vendors, this restriction is excluded from the Massachusetts Noncompetition Agreement Act by Mass. Gen. Laws ch. 149, § 24L(a) and is governed by common-law reasonableness; it protects Employer's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the Massachusetts Noncompetition Agreement Act, Mass. Gen. Laws ch. 149, § 24L. It is no broader than necessary to protect Employer's Protected Interests, and the Restricted Period for this covenant does not exceed 12 months from the cessation of employment, except that it may extend to no more than 2 years from cessation if Employee has breached a fiduciary duty to Employer or has unlawfully taken, physically or electronically, property belonging to Employer (Mass. Gen. Laws ch. 149, § 24L(b)(iv)). This covenant is supported by the garden leave clause or other mutually-agreed upon consideration stated in Cover Terms (Mass. Gen. Laws ch. 149, § 24L(b)(vii)), and is subject to the worker exemptions stated below. The Restricted Territory is intended to be reasonable in geographic reach, and the Competitive Business is intended to be reasonable in the scope of proscribed activities, each in relation to the Protected Interests (Mass. Gen. Laws ch. 149, § 24L(b)(v)–(vi)); this covenant is intended to be consonant with public policy (Mass. Gen. Laws ch. 149, § 24L(b)(viii)). Consistent with Massachusetts common law, a covenant not to compete is enforceable only if it is necessary to protect a legitimate business interest, reasonably limited in time and space, and consonant with the public interest.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This noncompetition agreement is supported by the garden leave clause or other mutually-agreed upon consideration stated in Cover Terms, as required by Mass. Gen. Laws ch. 149, § 24L(b)(vii). A qualifying garden leave clause provides for the payment to Employee, on a pro-rata basis during the entirety of the Restricted Period for the non-compete and consistent with the wage-payment requirements of Mass. Gen. Laws ch. 149, § 148, of at least 50 percent of Employee's highest annualized base salary paid by Employer within the 2 years preceding the cessation of employment. Where the parties instead agree to other mutually-agreed upon consideration, that consideration is the amount stated in Cover Terms. Because the statute does not define consideration other than garden leave, the consideration is intended to be sized conservatively against the garden-leave benchmark.</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is not enforceable against, and does not apply to, Employee if Employee falls within any category against which Mass. Gen. Laws ch. 149, § 24L(c) makes a noncompetition agreement unenforceable: (i) an employee classified as nonexempt under the Fair Labor Standards Act, 29 U.S.C. §§ 201–219; (ii) an undergraduate or graduate student engaged in an internship or other short-term employment relationship while enrolled in a full-time or part-time educational program; (iii) an employee who has been terminated without cause or laid off; or (iv) an employee age 18 or younger. For purposes of this section and Mass. Gen. Laws ch. 149, § 24L, the term employee includes an independent contractor under Mass. Gen. Laws ch. 149, § 148B. The other restrictive covenants in this agreement remain in effect to the extent they are otherwise enforceable.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To the extent this covenant restricts Employee from engaging in activities competitive with Employer after employment ends — for example, serving as a director, officer, manager, or advisor to a Competitive Business — it is a noncompetition agreement under Mass. Gen. Laws ch. 149, § 24L and applies only on the same terms as the non-compete in this agreement, including the garden leave or other agreed consideration, the 12-month duration cap, and the worker exemptions stated above; it does not restrict Passive Public Holdings.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(Mass. Gen. Laws ch. 112, § 12X), a registered or practical nurse (Mass. Gen. Laws ch. 112, § 74D), a licensed psychologist (Mass. Gen. Laws ch. 112, § 129B), or a licensed social worker (Mass. Gen. Laws ch. 112, § 135C).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a violation of that prohibition exposes Employer to the affected Employee's reasonable attorneys' fees and costs (Mass. Gen. Laws ch. 149, § 186).</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the non-compete, no extension under this section may cause the Restricted Period to run beyond the latest point permitted by Mass. Gen. Laws ch. 149, § 24L(b)(iv) — that is, beyond 12 months from the cessation of employment, or beyond 2 years from the cessation of employment only where Employee has breached a fiduciary duty to Employer or has unlawfully taken, physically or electronically, property belonging to Employer. Because Massachusetts courts will not equitably extend a noncompetition restraint beyond its stated term, this express provision is the parties' agreed mechanism for any extension during a breach, and it cannot lengthen the non-compete beyond that statutory ceiling.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Mass. Gen. Laws ch. 149, § 24L(d), a court may, in its discretion, reform or otherwise revise a noncompetition agreement so as to render it valid and enforceable to the extent necessary to protect Employer's applicable legitimate business interests, and Employer requests such reformation if any restraint in this agreement is found to be overbroad. Because that reformation power is discretionary, the parties intend each restrictive covenant in this agreement to be drawn no broader than necessary and to be independently enforceable, rather than to rely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The Employer named in this agreement is the entity that actually employs Employee. Because Mass. Gen. Laws ch. 149, § 24L governs an agreement between an employer and an employee, the noncompetition obligations run to and are enforceable by that employing entity, and are not intended to be enforced by a parent, holding company, or affiliate that is not Employee's employer.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Massachusetts Noncompetition Agreement Act, Mass. Gen. Laws ch. 149, § 24L, for agreements entered into on or after October 1, 2018. No choice-of-law provision shall be applied to avoid the requirements of Mass. Gen. Laws ch. 149, § 24L if Employee is, and has been for at least 30 days immediately preceding the cessation of employment, a resident of or employed in Massachusetts. All civil actions relating to the noncompetition agreement in this agreement shall be brought in the county where Employee resides or, if Employer and Employee mutually agree, in Suffolk County, as required by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