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Ohio</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provided services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the legitimate business interests an Ohio covenant may protect under Ohio's common-law reasonableness rule, namely Employer's Confidential Information, Employer's trade secrets as defined by the Ohio Uniform Trade Secrets Act (Ohio Rev. Code § 1333.61), and Employer's goodwill in its customer, vendor, referral-source, and business-partner relationships, but not Employer's interest in avoiding ordinary competition.</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Ohio Uniform Trade Secrets Act, Ohio Rev. Code § 1333.61(D).</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is intended to protect one or more of Employer's Protected Interests and to impose no restraint greater than is required for that protection. The parties acknowledge that each covenant is meant to guard Employer's Confidential Information, trade secrets, and customer goodwill and not to eliminate ordinary competition, and that Employer would not provide Employee with access to these Protected Interests absent the protections in this agreement. Each covenant is intended to be no greater than is required for the protection of Employer, to impose no undue hardship on Employee, to cause no injury to the public, and to be reasonable in time, territory, and scope.</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The parties acknowledge that this agreement is supported by adequate consideration. If Employee is an existing at-will employee, the parties agree that, in exchange for Employee's assent to the covenants in this agreement, Employer continues an at-will employment relationship that it could otherwise legally have terminated without cause, which is itself sufficient consideration for the covenants; no separate payment, raise, or promotion is required. If this agreement is signed at the outset of employment, the offer and commencement of employment is the consideration. Employee acknowledges having had the opportunity to consult with independent legal counsel before signing this agreement. Employee acknowledges that the restrictions in this agreement are reasonable and necessary to protect Employer's Protected Interests, and understands that adequate consideration establishes only that the covenants are supported, not that they are reasonable — each covenant must independently be no greater than is required to protect Employer, impose no undue hardship on Employee, and cause no injury to the public.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confidentiality obligation is intended to operate alongside, and independent of, any restrictive covenant,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 The parties intend that these return, deletion, and certification mechanics serve as part of Employer's efforts reasonable under the circumstances to maintain the secrecy of its trade secrets, as contemplated by Ohio Rev. Code § 1333.61(D).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covenant reaches only Covered Employees during the Restricted Period and is no broader than necessary to protect Employer's workforce stability and goodwill.</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reaches only Covered Customers with whom Employee had material contact and is no broader than necessary to protect Employer's goodwill in its customer relationships. This covenant is directed at Employer's customer-goodwill interest and operates together with the confidentiality and trade-secret protections in this agreement.</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because it presses harder on Employee, it is sized tightly to the goodwill it protects and reaches only Covered Customers with whom Employee had material contact.</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exists to protect Employer's Protected Interests — its Confidential Information, trade secrets, and customer goodwill — and not to restrain ordinary competition. The parties intend this covenant to be no greater than is required for the protection of Employer, to impose no undue hardship on Employee, and to cause no injury to the public, with its time and territory sized to Employee's actual role and Employer's actual market. If Employer has identified specific competitors in Cover Terms under Specified Competitors, the parties intend this covenant to be understood and, if necessary, enforced as limited to those named competitors.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Because this covenant restrains active roles at and material participation in a Competitive Business, it is drawn no broader than necessary to protect Employer's Protected Interests. Passive Public Holdings are permitted.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If Employee is a physician, any covenant in this agreement restraining Employee from the practice of medicine is intended to use a narrow radius and a short term, to preserve patient access and continuity of care, and to be enforced only to the extent it is no greater than is required to protect Employer, imposes no undue hardship on Employee, and causes no injury to the public. The parties intend any such covenant to operate as a restraint tied to Employer's Protected Interests and not as an ordinary commercial restraint on the practice of medicine.</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 The parties further agree that a covenant in this agreement may not expire while the enforceability of the agreement is being litigated, so that the Restricted Period may be equitably extended until the litigation is resolved. Any such extension is itself a restraint that must remain reasonable and bounded; the parties do not intend an open-ended or indefinite extension.</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including relief under the Ohio Uniform Trade Secrets Act, Ohio Rev. Code § 1333.62(A), under which actual or threatened misappropriation of a trade secret may be enjoined independent of any covenant.</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 so that a court's refusal to enforce one covenant, or a court's decision to enforce a covenant only to a reasonable extent, does not affect the others.</w:t>
      </w:r>
    </w:p>
    <w:p>
      <w:pPr>
        <w:pStyle w:val="OABody"/>
        <w:keepNext/>
        <w:numPr>
          <w:ilvl w:val="0"/>
          <w:numId w:val="1"/>
        </w:numPr>
        <w:spacing w:before="320" w:after="120" w:line="340" w:lineRule="auto"/>
        <w:jc w:val="left"/>
      </w:pPr>
      <w:r>
        <w:rPr>
          <w:b/>
          <w:bCs/>
        </w:rPr>
        <w:t xml:space="preserve">Reformation</w:t>
      </w:r>
    </w:p>
    <w:p>
      <w:pPr>
        <w:pStyle w:val="OABody"/>
        <w:spacing w:before="0" w:after="120" w:line="340" w:lineRule="auto"/>
        <w:ind w:left="720"/>
      </w:pPr>
      <w:r>
        <w:t xml:space="preserve">Employer requests that a court modify or amend any restraint in this agreement found to be overbroad and enforce it to the extent necessary to protect Employer's legitimate interests. Each restrictive covenant in this agreement is drawn as a tiered, severable, reasonable restraint sized to the Protected Interests from the start and is intended to be enforceable as written rather than in reliance on judicial revision.</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 This express assignment and successor-and-assigns language lets a buyer enforce the covenants in a transaction that is not a statutory merger.</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 The parties intend that the governing-law and venue choices match where Employee actually lives and works.</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(Ohio)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(Ohio)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(Ohio)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