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an Ohio covenant may protect under Ohio's common-law reasonableness rule, namely Employer's Confidential Information, Employer's trade secrets as defined by the Ohio Uniform Trade Secrets Act (Ohio Rev. Code § 1333.61), and Employer's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Ohio Uniform Trade Secrets Act, Ohio Rev. Code § 1333.61(D).</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The parties acknowledge that each covenant is meant to guard Employer's Confidential Information, trade secrets, and customer goodwill and not to eliminate ordinary competition, and that Employer would not provide Employee with access to these Protected Interests absent the protections in this agreement. Each covenant is intended to be no greater than is required for the protection of Employer, to impose no undue hardship on Employee, to cause no injury to the public, and to be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parties agree that, in exchange for Employee's assent to the covenants in this agreement, Employer continues an at-will employment relationship that it could otherwise legally have terminated without cause, which is itself sufficient consideration for the covenants; no separate payment, raise, or promotion is required.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 each covenant must independently be no greater than is required to protect Employer, impose no undue hardship on Employee, and cause no injury to the public.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Ohio Rev. Code § 1333.61(D).</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necessary to protect Employer's goodwill in its customer relationships. This covenant is directed at Employer's customer-goodwill interest and operates together with the confidentiality and trade-secret protections in this agreement.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because it presses harder on Employee, it is sized tightly to the goodwill it protects and reaches only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goodwill — and not to restrain ordinary competition. The parties intend this covenant to be no greater than is required for the protection of Employer, to impose no undue hardship on Employee, and to cause no injury to the public, with its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drawn no broader than necessary to protect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any covenant in this agreement restraining Employee from the practice of medicine is intended to use a narrow radius and a short term, to preserve patient access and continuity of care, and to be enforced only to the extent it is no greater than is required to protect Employer, imposes no undue hardship on Employee, and causes no injury to the public. The parties intend any such covenant to operate as a restraint tied to Employer's Protected Interests and not as an ordinary commercial restraint on the practice of medicine.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further agree that a covenant in this agreement may not expire while the enforceability of the agreement is being litigated, so that the Restricted Period may be equitably extended until the litigation is resolved. Any such extension is itself a restraint that must remain reasonable and bounded; the parties do not intend an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Ohio Uniform Trade Secrets Act, Ohio Rev. Code § 1333.62(A), under which actual or threatened misappropriation of a trade secret may be enjoined independent of any covenant.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Employer requests that a court modify or amend any restraint in this agreement found to be overbroad and enforce it to the extent necessary to protect Employer's legitimate interests. Each restrictive covenant in this agreement is drawn as a tiered, severable, reasonable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This express assignment and successor-and-assigns language lets a buyer enforce the covenants in a transaction that is not a statutory merger.</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