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business interests the Texas Covenants Not to Compete Act permits a covenant to protect under Tex. Bus. &amp; Com. Code § 15.50(a), including Employer's goodwill, Employer's Confidential Information, and Employer's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Texas Uniform Trade Secrets Act, Tex. Civ. Prac. &amp; Rem. Code § 134A.002(6).</w:t>
      </w:r>
    </w:p>
    <w:p>
      <w:pPr>
        <w:pStyle w:val="OABody"/>
        <w:keepNext/>
        <w:numPr>
          <w:ilvl w:val="0"/>
          <w:numId w:val="1"/>
        </w:numPr>
        <w:spacing w:before="320" w:after="120" w:line="340" w:lineRule="auto"/>
        <w:jc w:val="left"/>
      </w:pPr>
      <w:r>
        <w:rPr>
          <w:b/>
          <w:bCs/>
        </w:rPr>
        <w:t xml:space="preserve">Recitals, Consideration, and Ancillary Agreement</w:t>
      </w:r>
    </w:p>
    <w:p>
      <w:pPr>
        <w:pStyle w:val="OABody"/>
        <w:spacing w:before="0" w:after="120" w:line="340" w:lineRule="auto"/>
        <w:ind w:left="720"/>
      </w:pPr>
      <w:r>
        <w:t xml:space="preserve">Employer and Employee acknowledge that the restrictive covenants in this agreement are ancillary to and part of an otherwise enforceable agreement between them at the time this agreement is made, as required by Tex. Bus. &amp; Com. Code § 15.50(a). As consideration, Employer agrees to provide, and during employment will provide, Employee with Confidential Information, specialized training, and access to Employer's goodwill and customer relationships; that consideration is reasonably related to Employer's interest in protecting its goodwill and other business interests worthy of protection. Because the employment relationship may be at will, the parties intend that these covenants become enforceable when Employer performs that promise by providing the Confidential Information, training, or other consideration described above, and Employee acknowledges that Employer's promise to provide Confidential Information gives rise to Employer's interest in restraining its disclosure or use. The restraints in this agreement contain limitations as to time, geographical area, and scope of activity to be restrained that are reasonable and do not impose a greater restraint than necessary to protect Employer's goodwill or other business interest, as required by Tex. Bus. &amp; Com. Code § 15.50(a).</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Texas law, including the Texas Uniform Trade Secrets Act, Tex. Civ. Prac. &amp; Rem. Code §§ 134A.001–134A.008. This confidentiality obligation does not restrict Employee's use of the general knowledge, skill, and experience Employee acquired during employment, consistent with the Texas Uniform Trade Secrets Act, Tex. Civ. Prac. &amp; Rem. Code § 134A.003, and is not intended to operate as a covenant not to compete.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Texas courts analyze this customer non-solicitation covenant under the Covenants Not to Compete Act's reasonableness test (Tex. Bus. &amp; Com. Code § 15.50(a)); it reaches only Covered Customers with whom Employee had material contact and is no broader than necessary to protect Employer's goodwill.</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This covenant is analyzed under the Covenants Not to Compete Act's reasonableness test (Tex. Bus. &amp; Com. Code § 15.50(a)) and reaches only Covered Customers with whom Employee had material contact, no broader than necessary to protect Employer's goodwill.</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contains limitations as to time, geographic area, and scope of activity to be restrained that are reasonable and impose no greater restraint than necessary to protect Employer's goodwill and other Protected Interests, as required by Tex. Bus. &amp; Com. Code § 15.50(a).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licensed by the Texas Medical Board and this agreement contains a covenant not to compete relating to the practice of medicine, then, as required by Tex. Bus. &amp; Com. Code § 15.50(b): the covenant does not deny Employee access to a list of patients whom Employee has seen or treated within one year before termination; Employee is entitled, on reasonable terms, to access and copies of the medical records of those patients on the patient's authorization; the covenant provides for continuity of care during an acute illness even after the contract or employment terminates; and the covenant provides for a buyout of the covenant by Employee at a reasonable price or, at Employee's election, at a price determined by a mutually agreed arbitrator, in an amount not greater than Employee's total annual salary and wages at the time of termination (§ 15.50(b)(2)). The covenant expires no later than one year after termination, is limited to a radius of no more than five miles from the location where Employee primarily practiced, and is stated clearly and conspicuously in writing (§ 15.50(b)(4)). The practice of medicine does not include managing or directing medical services in a purely administrative capacity (§ 15.50(b-1)), and § 15.50(b) does not apply to Employee's ownership interest in a licensed hospital or licensed ambulatory surgical center (§ 15.50(c)). For an agreement entered into on or after September 1, 2025, the covenant is void and unenforceable if Employee is involuntarily discharged from contract or employment without good cause — meaning a reasonable basis for discharge that is directly related to Employee's conduct, job performance, or contract or employment record (§ 15.50(d)). If Employee is a licensed dentist, a person licensed in professional or vocational nursing, or a licensed physician assistant, then, for an agreement entered into on or after September 1, 2025, any covenant not to compete relating to that practice must provide the same salary-capped buyout, must expire no later than one year after termination, must be limited to a radius of no more than five miles from the location where Employee primarily practiced, and must be stated clearly and conspicuously in writing (§ 15.501).</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Texas Uniform Trade Secrets Act, Tex. Civ. Prac. &amp; Rem. Code § 134A.003, to prevent actual or threatened misappropriation of trade secrets. The parties acknowledge that, under Tex. Bus. &amp; Com. Code § 15.51(c), if Employee proves that Employer knew when this agreement was executed that the covenant's limitations were not reasonable and that Employer sought to enforce the covenant to a greater extent than necessary to protect Employer's goodwill or other business interest, the court may award Employee the cost of defense, including reasonable attorney's fees.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Consistent with Tex. Bus. &amp; Com. Code § 15.51(c), if a court finds that this covenant is ancillary to or part of an otherwise enforceable agreement but contains limitations as to time, geographic area, or scope of activity that are not reasonable and impose a greater restraint than necessary to protect Employer's goodwill or other business interest, the court shall reform the covenant to the extent necessary to make those limitations reasonable and shall enforce the covenant as reformed. The parties acknowledge that, on reformation, the court may not award Employer damages for any breach of the covenant occurring before reformation and may grant only injunctive relief for that period; each restrictive covenant in this agreement is therefore drawn to its final intended scope and does not rely on reformation as a drafting strategy.</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Texas Covenants Not to Compete Act, Tex. Bus. &amp; Com. Code §§ 15.50–15.52. Disputes will be resolved in the courts of the Governing Law state, subject to non-waivable rights under applicable law. For a Texas-based Employee, the parties intend Texas law to govern the enforceability of the restrictive covenants: Texas treats the enforcement of covenants not to compete as a matter of fundamental policy, and a foreign choice-of-law clause will not be applied to escape that policy for a Texas worker. A mandatory forum-selection clause is enforceable in Texas, by mandamus if necessary. The criteria, procedures, and remedies of the Texas Covenants Not to Compete Act are exclusive and preempt other law, including the common law, under Tex. Bus. &amp; Com. Code § 15.52.</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