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 consistent with Utah Code section 34-51-102(8)(a).</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goodwill, and any extraordinary training Employer provided to Employee, which Utah common law recognizes as the interests a carefully drawn covenant may protect rather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 and any longer term is void under Utah Code section 34-51-201(1).</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Utah Code section 13-24-2(4):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carefully drawn to protect one or more of Employer's Protected Interests and not to shield Employer from ordinary competition. To the extent any covenant is a non-compete, the parties intend it to be supported by consideration, negotiated in good faith, no broader than necessary to protect the goodwill of the business, and reasonable in its restrictions as to time and area.</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Employer and Employee agree that the offer of employment, including continued at-will employment, is sufficient consideration for the restrictive covenants, and that the terms of this agreement are not rendered unenforceable merely because they are harsh or the parties' obligations are unequal. Employer has given Employee a genuine opportunity to review this agreement and to consult with an attorney before signing, and confirms that it has not used a quick hire-and-fire to bind Employee to the covenants.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Protected Interests.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vendors, referral sources, and business partners the Employee actually served during the stated lookback. This covenant does not restrict Employee from serving a Covered Customer who first approaches Employee without any solicitation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This covenant is drawn no broader than necessary to protect Employer's Protected Interests. Passive Public Holdings are permitted. This covenant does not apply to a healthcare worker as a healthcare non-compete agreement, and does not apply to a veterinarian unless the veterinarian holds at least a five percent ownership interest in the business (Utah Code section 34-51-201(1)(b), (3)).</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Statutory Limits and Exemptions</w:t>
      </w:r>
    </w:p>
    <w:p>
      <w:pPr>
        <w:pStyle w:val="OABody"/>
        <w:spacing w:before="0" w:after="120" w:line="340" w:lineRule="auto"/>
        <w:ind w:left="720"/>
      </w:pPr>
      <w:r>
        <w:t xml:space="preserve">A post-employment non-compete under this agreement may not run more than one year from the day Employee's employment ends (Utah Code section 34-51-201(1)). The one-year cap does not apply to a covenant covered by the Act's exemptions: a reasonable severance agreement mutually and freely agreed upon in good faith at or after the time of termination, or a covenant arising out of the sale of a business where Employee receives value related to the sale; a severance agreement remains subject to common-law requirements (Utah Code section 34-51-202). Where Employer is a broadcasting company and Employee is an exempt broadcasting employee, any non-compete must sit within a written employment contract of reasonable duration and operates only where Employer terminates Employee for cause or Employee breaches the contract (Utah Code section 34-51-201(2)(a)). Employer and Employee may not enter into a healthcare non-compete agreement, may not enter into a veterinarian non-compete agreement unless the veterinarian holds at least a five percent ownership interest in the business, and may not enter into a healthcare nonsolicitation agreement that prevents a healthcare worker from informing a patient of the worker's current or future place of employment (Utah Code sections 34-51-201(1)(b), (3) and 34-51-203).</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which expires no later than one year after the day Employee's employment ends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 injunction against actual or threatened misappropriation of trade secrets under the Utah Uniform Trade Secrets Act (Utah Code section 13-24-3).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judicial reformation to cure an overbroad covenant. Each restrictive covenant in this agreement is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indefinitely to the extent they relate to trade secrets. The non-competition covenant expires no later than one year after the day Employee's employment ends, consistent with Utah Code section 34-51-201(1).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assignment moves each covenant as it stands, including the non-competition covenant's one-year cap measured from Employee's separation and its reasonableness limits.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Utah Post-Employment Restrictions Act, Utah Code sections 34-51-101 through 34-51-301. Disputes will be resolved in the courts of the Governing Law state, subject to non-waivable rights under applicable law. For a Utah workforce, the Act's one-year cap, void consequence, and fee-shifting are not waived or displaced by a choice of another state's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