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and construed in accordance with the laws of the State of Wyoming, including Wyo. Stat. § 1-23-108 for contracts entered into on or after July 1, 2025. Disputes will be resolved in the state and federal courts located in Wyoming,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2026-03-31T19:13:18.171Z</dcterms:created>
  <dcterms:modified xsi:type="dcterms:W3CDTF">2026-03-31T19:13:18.171Z</dcterms:modified>
</cp:coreProperties>
</file>

<file path=docProps/custom.xml><?xml version="1.0" encoding="utf-8"?>
<Properties xmlns="http://schemas.openxmlformats.org/officeDocument/2006/custom-properties" xmlns:vt="http://schemas.openxmlformats.org/officeDocument/2006/docPropsVTypes"/>
</file>