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as defined by the Vermont Trade Secrets Act (9 V.S.A. §§ 4601–4609),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to "trade secret" in the Vermont Trade Secrets Act, 9 V.S.A. §§ 4601–4609.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continued employment alone is sufficient consideration to support the covenants in this agreement;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that adequate consideration establishes only that the covenants are supported, not that they are reasonable — each covenant must independently be reasonable in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limited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no greater than is needed to protect Employer's legitimate interest, to impose no undue hardship on Employee, and to cause no injury to the public, with its time and territory sized to Employee's actual role and Employer's actual market and tied to a determinable place.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licensed healthcare professional, any covenant in this agreement restraining Employee from practicing is intended to use a narrow radius and a short term to preserve patient access and continuity of care, and applies only to the extent it is reasonable in time, territory, and scope.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Any such extension is itself a restraint, is limited to what remains reasonable in time, and is not intended to be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Each restrictive covenant in this agreement is drawn as a tiered, severable, reasonable restraint sized to the Protected Interests and is intended to be enforceable as written. If any restraint is nonetheless found overbroad, Employer requests that the covenant be enforced to the extent reasonable to the degree Vermont law permits.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any transfer of a covenant in connection with a sale of Employer's business be stated expressly in the transaction documents.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confirm that every covenant term — duration, geography, scope, and consideration — is stated in this agreement rather than deferred to a side understanding.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