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or (d) Employee independently develops outside the scope of employment without using Confidential Information.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actual or anticipated business.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needed to document conception, authorship, development, and transfer of rights for Company business, consistent with lawful policy and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only to the extent permitted by applicable law. Employee represents that the Prior Inventions disclosure in Cover Terms is complete to Employee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Company policy or law, and will follow the Confidential Information definition set out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subject to reimbursement of reasonable out-of-pocket expenses when required by policy.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2026-04-29T17:33:31.550Z</dcterms:created>
  <dcterms:modified xsi:type="dcterms:W3CDTF">2026-04-29T17:33:31.551Z</dcterms:modified>
</cp:coreProperties>
</file>

<file path=docProps/custom.xml><?xml version="1.0" encoding="utf-8"?>
<Properties xmlns="http://schemas.openxmlformats.org/officeDocument/2006/custom-properties" xmlns:vt="http://schemas.openxmlformats.org/officeDocument/2006/docPropsVTypes"/>
</file>