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and prospective customers with whom Employee had material contact during the </w:t>
      </w:r>
      <w:r>
        <w:rPr>
          <w:highlight w:val="yellow"/>
        </w:rPr>
        <w:t xml:space="preserve">{covered_customer_period}</w:t>
      </w:r>
      <w:r>
        <w:t xml:space="preserve"> before termination of employment, meaning customers Employee dealt with on Employer's behalf, whose dealings with Employer Employee coordinated or supervised, about whom Employee obtained confidential information in the ordinary course of business, or from whom Employee earned compensation, commissions, or earnings.</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substantial customer relationships, and customer goodwill.</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 if any is stated.</w:t>
      </w:r>
    </w:p>
    <w:p>
      <w:pPr>
        <w:pStyle w:val="OABody"/>
        <w:numPr>
          <w:ilvl w:val="1"/>
          <w:numId w:val="1"/>
        </w:numPr>
        <w:spacing w:before="0" w:after="120" w:line="340" w:lineRule="auto"/>
      </w:pPr>
      <w:r>
        <w:rPr>
          <w:b/>
          <w:bCs/>
          <w:color w:val="117086"/>
        </w:rPr>
        <w:t xml:space="preserve">“Solicit”</w:t>
      </w:r>
      <w:r>
        <w:t xml:space="preserve"> means to directly or indirectly, or by assisting others, solicit or attempt to solicit business, including actively seeking prospective customers,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derives independent economic value from not being generally known and is the subject of reasonable efforts to maintain its secrecy.</w:t>
      </w:r>
    </w:p>
    <w:p>
      <w:pPr>
        <w:pStyle w:val="OABody"/>
        <w:keepNext/>
        <w:numPr>
          <w:ilvl w:val="0"/>
          <w:numId w:val="1"/>
        </w:numPr>
        <w:spacing w:before="320" w:after="120" w:line="340" w:lineRule="auto"/>
        <w:jc w:val="left"/>
      </w:pPr>
      <w:r>
        <w:rPr>
          <w:b/>
          <w:bCs/>
        </w:rPr>
        <w:t xml:space="preserve">Recitals, Consideration, and Protected Interests</w:t>
      </w:r>
    </w:p>
    <w:p>
      <w:pPr>
        <w:pStyle w:val="OABody"/>
        <w:spacing w:before="0" w:after="120" w:line="340" w:lineRule="auto"/>
        <w:ind w:left="720"/>
      </w:pPr>
      <w:r>
        <w:t xml:space="preserve">Each covenant is supported by and no broader than necessary to protect Employer's Protected Interests. In consideration for this agreement, Employer provides Employee with </w:t>
      </w:r>
      <w:r>
        <w:rPr>
          <w:highlight w:val="yellow"/>
        </w:rPr>
        <w:t xml:space="preserve">{additional_consideration}</w:t>
      </w:r>
      <w:r>
        <w:t xml:space="preserve">.</w:t>
      </w:r>
    </w:p>
    <w:p>
      <w:pPr>
        <w:pStyle w:val="OABody"/>
        <w:keepNext/>
        <w:numPr>
          <w:ilvl w:val="0"/>
          <w:numId w:val="1"/>
        </w:numPr>
        <w:spacing w:before="320" w:after="120" w:line="340" w:lineRule="auto"/>
        <w:jc w:val="left"/>
      </w:pPr>
      <w:r>
        <w:rPr>
          <w:b/>
          <w:bCs/>
        </w:rPr>
        <w:t xml:space="preserve">Timing and Employee Acknowledgements</w:t>
      </w:r>
    </w:p>
    <w:p>
      <w:pPr>
        <w:pStyle w:val="OABody"/>
        <w:spacing w:before="0" w:after="120" w:line="340" w:lineRule="auto"/>
        <w:ind w:left="720"/>
      </w:pPr>
      <w:r>
        <w:t xml:space="preserve">Employee acknowledges that the restrictions in this agreement are reasonable and necessary to protect Employer's Protected Interests.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trade-secret obligations continue while the information remains a trade secret. Other confidentiality obligations continue for the duration specified in Cover Terms and end when the information is no longer confidential. This obligation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making disclosures required by law, court order, or a government investigation; or (e) filing a sealed complaint in court using Confidential Information without liability. Pursuant to the Defend Trade Secrets Act (18 U.S.C. § 1833(b)), Employee may not be held criminally or civilly liable under any federal or state trade-secret law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w:t>
      </w:r>
    </w:p>
    <w:p>
      <w:pPr>
        <w:pStyle w:val="OABody"/>
        <w:spacing w:before="0" w:after="120" w:line="340" w:lineRule="auto"/>
        <w:ind w:left="720"/>
      </w:pPr>
      <w:r>
        <w:t xml:space="preserve">During the Restricted Period, Employee must not Solicit the business of any Covered Customer for purposes of providing products or services that are competitive with those provided by Employer's business.</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Employee's covered function is: </w:t>
      </w:r>
      <w:r>
        <w:rPr>
          <w:highlight w:val="yellow"/>
        </w:rPr>
        <w:t xml:space="preserve">{covered_employee_function}</w:t>
      </w:r>
      <w:r>
        <w:t xml:space="preserve">.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Section 7 of the National Labor Relations Act.</w:t>
      </w:r>
    </w:p>
    <w:p>
      <w:r>
        <w:t xml:space="preserve">{IF worker_is_physician}</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The restrictive covenants apply to a physician or other health care practitioner only if the covered function identified in Cover Terms applies to Employee.</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 Employer will limit any such disclosure to factual statements about the covenants in this agreement.</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Each Restricted Period begins when Employee's employment ends and expires on its stated end date, notwithstanding any breach.</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temporary and permanent injunctive relief and any other appropriate and effective remedy available at law or equity, including relief available under applicable trade-secret law to prevent actual or threatened misappropriation of trade secrets. Injunctive relief runs only through the covenant's stated Restricted Period.</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as long as the information remains confidential or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that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(Georgia)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(Georgia)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(Georgia)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