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Definitions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and patient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patients,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interest in protecting unique services, Trade Secrets, routes or client lists,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Maryland Uniform Trade Secrets Act and applicable federal law, including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that each restrictive covenant in this agreement is ancillary to a valid employment relationship, is supported by adequate consideration, protects Employer's Protected Interests, and is reasonable in area and duration. Employee will receive access to Employer's Confidential Information, Trade Secrets, and customer and patient relationships in the course of employment.</w:t>
      </w:r>
    </w:p>
    <w:p>
      <w:pPr>
        <w:pStyle w:val="OABody"/>
        <w:keepNext/>
        <w:numPr>
          <w:ilvl w:val="0"/>
          <w:numId w:val="1"/>
        </w:numPr>
        <w:spacing w:before="320" w:after="120" w:line="340" w:lineRule="auto"/>
        <w:jc w:val="left"/>
      </w:pPr>
      <w:r>
        <w:rPr>
          <w:b/>
          <w:bCs/>
        </w:rPr>
        <w:t xml:space="preserve">Maryland Statutory Worker-Class Voids</w:t>
      </w:r>
    </w:p>
    <w:p>
      <w:pPr>
        <w:pStyle w:val="OABody"/>
        <w:numPr>
          <w:ilvl w:val="1"/>
          <w:numId w:val="1"/>
        </w:numPr>
        <w:spacing w:before="0" w:after="120" w:line="340" w:lineRule="auto"/>
      </w:pPr>
      <w:r>
        <w:t xml:space="preserve">Notwithstanding any other provision of this agreement, no noncompete or conflict-of-interest provision applies to Employee if:</w:t>
      </w:r>
    </w:p>
    <w:p>
      <w:pPr>
        <w:pStyle w:val="OABody"/>
        <w:numPr>
          <w:ilvl w:val="1"/>
          <w:numId w:val="1"/>
        </w:numPr>
        <w:spacing w:before="0" w:after="120" w:line="340" w:lineRule="auto"/>
      </w:pPr>
      <w:r>
        <w:t xml:space="preserve">(a) Employee earns equal to or less than 150% of the Maryland minimum wage rate;</w:t>
      </w:r>
    </w:p>
    <w:p>
      <w:pPr>
        <w:pStyle w:val="OABody"/>
        <w:numPr>
          <w:ilvl w:val="1"/>
          <w:numId w:val="1"/>
        </w:numPr>
        <w:spacing w:before="0" w:after="120" w:line="340" w:lineRule="auto"/>
      </w:pPr>
      <w:r>
        <w:t xml:space="preserve">(b) Employee is licensed as a veterinary practitioner or veterinary technician, at any compensation level; or</w:t>
      </w:r>
    </w:p>
    <w:p>
      <w:pPr>
        <w:pStyle w:val="OABody"/>
        <w:numPr>
          <w:ilvl w:val="1"/>
          <w:numId w:val="1"/>
        </w:numPr>
        <w:spacing w:before="0" w:after="120" w:line="340" w:lineRule="auto"/>
      </w:pPr>
      <w:r>
        <w:t xml:space="preserve">(c) Employee holds a health-occupation license, provides direct patient care, and earns equal to or less than $350,000 in total annual compensation.</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continued at-will employment is adequate consideration for the restrictive covenants in this agreement. For a covenant Employee signs after employment begins, the parties acknowledge that Employee's continued at-will employment supplies that consideration. Employee's execution of this agreement is connected to, and given in exchange for, Employee's continued employment with Employer. Employee has had the opportunity to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Employee's obligations regarding other Confidential Information continue for the period specified in Cover Terms under Other Confidential Information Duration. This section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including customer lists and pricing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initiate contact with or actively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during the lookback period stated in Cover Terms.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any condition in the Maryland Statutory Worker-Class Voids section applies to Employee.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actual competitors in Cover Terms under Specified Competitors, the non-competition covenant binds Employee only as to those named competitors and their lines of business, rather than the open-ended Competitive Business definition.</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if any condition in the Maryland Statutory Worker-Class Voids section applies to Employee.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r>
        <w:t xml:space="preserve">{IF healthcare_provider}</w:t>
      </w:r>
    </w:p>
    <w:p>
      <w:pPr>
        <w:pStyle w:val="OABody"/>
        <w:keepNext/>
        <w:numPr>
          <w:ilvl w:val="0"/>
          <w:numId w:val="1"/>
        </w:numPr>
        <w:spacing w:before="320" w:after="120" w:line="340" w:lineRule="auto"/>
        <w:jc w:val="left"/>
      </w:pPr>
      <w:r>
        <w:rPr>
          <w:b/>
          <w:bCs/>
        </w:rPr>
        <w:t xml:space="preserve">Health-Care Provider Notices and Patient Communications</w:t>
      </w:r>
    </w:p>
    <w:p>
      <w:pPr>
        <w:pStyle w:val="OABody"/>
        <w:spacing w:before="0" w:after="120" w:line="340" w:lineRule="auto"/>
        <w:ind w:left="720"/>
      </w:pPr>
      <w:r>
        <w:t xml:space="preserve">Nothing in this agreement restricts or delays a departing clinician, or Employer, from communicating a patient's right to continue care with Employee at a new location, or from giving any patient notice that applicable law requires.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Employer will not present or attempt to enforce against a third party a covenant that is void under Md. Code, Lab. &amp; Empl. § 3-716 for Employee's worker class.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 decision not to enforce a covenant or its liquidated-damages terms does not bar Employer from recovering for trade-secret misappropriation. Any fee-shifting between the parties is mutual and prevailing-party based.</w:t>
      </w:r>
    </w:p>
    <w:p>
      <w:pPr>
        <w:pStyle w:val="OABody"/>
        <w:keepNext/>
        <w:numPr>
          <w:ilvl w:val="0"/>
          <w:numId w:val="1"/>
        </w:numPr>
        <w:spacing w:before="320" w:after="120" w:line="340" w:lineRule="auto"/>
        <w:jc w:val="left"/>
      </w:pPr>
      <w:r>
        <w:rPr>
          <w:b/>
          <w:bCs/>
        </w:rPr>
        <w:t xml:space="preserve">Severability and Severable Tiers</w:t>
      </w:r>
    </w:p>
    <w:p>
      <w:pPr>
        <w:pStyle w:val="OABody"/>
        <w:spacing w:before="0" w:after="120" w:line="340" w:lineRule="auto"/>
        <w:ind w:left="720"/>
      </w:pPr>
      <w:r>
        <w:t xml:space="preserve">If any provision of this agreement is found to be unenforceable, the remaining provisions remain in full force and effect. Each duration, territory, and covered-activity tier is severable, and each enforceable tier remains in effect independently of any unenforceable tier.</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assignee acquires no greater right to enforce a covenant than Employer held before the assignment.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Maryland-based worker the parties select Maryland law and a Maryland forum for disputes over the enforceability of the restrictive covenants;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