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established customers of Employer from whom Employee solicited, with whom Employee had material contact, or for whom Employee had responsibility during the </w:t>
      </w:r>
      <w:r>
        <w:rPr>
          <w:highlight w:val="yellow"/>
        </w:rPr>
        <w:t xml:space="preserve">{covered_customer_period}</w:t>
      </w:r>
      <w:r>
        <w:t xml:space="preserve"> before termination of employment. Covered Customers do not include prospective customers or former customers.</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highlight w:val="yellow"/>
        </w:rPr>
        <w:t xml:space="preserve">{covered_employee_period}</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Solicit Employees does not include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by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Nothing in the customer or employee non-solicitation covenants bars Employee from working for a competitor or engaging in the same or a similar business as Employer. This agreement does not impose a covenant not to compete. This agreement is effective as of the Effective Date listed in Cover Terms. If Employee signs this agreement after Employee's employment with Employer has begun, Employer agrees to provide Employee fresh and identifiable consideration beyond continued employment, as recited or referenced in Cover Terms or in a separate writing.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does not prohibit Employee from working for a competitor, competing with Employer generally, or doing business with a Covered Customer who approaches Employee without any Direct Solicitation by Employee.</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does not prohibit Employee from providing a professional reference on request, hiring a Covered Employee who applies on the Covered Employee's own initiative without solicitation by Employee,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and any other remedies available under applicable law.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the scope or duration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Any dispute arising under or relating to this agreement is subject to the venue listed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