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3600" w:type="dxa"/>
            <w:tcMar>
              <w:top w:w="60" w:type="dxa"/>
              <w:left w:w="0" w:type="dxa"/>
              <w:bottom w:w="60" w:type="dxa"/>
              <w:right w:w="0" w:type="dxa"/>
            </w:tcMar>
          </w:tcPr>
          <w:p>
            <w:r>
              <w:t xml:space="preserve">{IF mid_employment_consideration}</w:t>
            </w:r>
            <w:r>
              <w:rPr>
                <w:rFonts w:ascii="Arial" w:hAnsi="Arial" w:cs="Arial"/>
                <w:b/>
                <w:bCs/>
                <w:color w:val="1D2021"/>
                <w:sz w:val="22"/>
                <w:szCs w:val="22"/>
              </w:rPr>
              <w:t xml:space="preserve">New Consideration (if signed after hire)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{mid_employment_consideration}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Covered Employee Lookback</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{covered_employee_period}</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Covered Customer Lookback</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{covered_customer_period}</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Sale-of-Business Covenant</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{sale_of_business_covenant}</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Passive Public Holdings Threshold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{passive_public_holdings_threshold}</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the general knowledge, skill, and experience Employee acquired during employment.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Protected Interests in its Trade Secrets and other Confidential Information, its customer lists, its customer goodwill, and any unusual training in which Employer has invested, and does not include Employee's general knowledge, skill, and experience.</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applicable law.</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ancillary to a valid employment relationship. Employee will receive access to Employer's Trade Secrets and other Confidential Information and will develop customer relationships and goodwill on Employer's behalf. Each covenant protects those Protected Interests.</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This agreement is effective as of the Effective Date listed in Cover Terms. The parties acknowledge that this agreement is supported by adequate consideration. If this agreement is signed at the outset of employment, the offer and commencement of employment is the consideration for the covenants. If this agreement is signed after Employee's employment has begun, the consideration for the covenants is the new value stated in Cover Terms under New Consideration (if signed after hire). Employee acknowledges having had the opportunity to consult with independent legal counsel before signing this agreement.</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Employee's obligations regarding other Confidential Information continue for the period specified in Cover Terms under Other Confidential Information Duration. This section operates alongside, and independent of, the restrictive covenants in this agreement, and it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(e) responding to a subpoena, court order, or lawful demand of a government agency, with notice to Employer where permitted by law; or (f)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with whom Employee had material contact or for whom Employee had responsibility. This covenant does not bar Employee from working in Employee's field or from engaging in business generally.</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with whom Employee had material contact or for whom Employee had responsibility, regardless of who initiates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is included to protect Employer's Protected Interests, not to restrain ordinary competition, and is limited to the Competitive Business and Restricted Territory stated in Cover Terms. Where Cover Terms list Specified Competitors, this covenant is limited to those named competitors. If Cover Terms indicate this covenant is a Sale-of-Business Covenant, it is given by Employee in connection with Employee's sale of a business or practice to Employer and is supported by the consideration paid in that transaction.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below the threshold stated in Cover Terms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r>
        <w:t xml:space="preserve">{IF worker_is_physician}</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any covenant not to compete is limited to one year and thirty road miles from Employee's primary place of practice with Employer and does not apply if Employer terminates Employee's employment. These limitations do not apply to a covenant Employee gives in connection with the sale of Employee's business or practice or to a covenant among physicians who are owners of a health care practice.</w:t>
      </w:r>
    </w:p>
    <w:p>
      <w:r>
        <w:t xml:space="preserve">{END-IF}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Employer may seek to have the Restricted Period for that covenant equitably extended by the period of the breach. Any extension is limited to the period of the breach, and no extension enlarges any physician covenant beyond the limits stated in the Physician and Health Care Practitioner Covenants section.</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that Employer may seek injunctive or other equitable relief in addition to any other remedies available at law. Any fee-shifting between the parties under this agreement is mutual and prevailing-party based.</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to the extent they relate to Trade Secrets, for as long as the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(West Virginia)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(West Virginia)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(West Virginia)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