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Massachusetts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 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or Agreed Consideration</w:t>
            </w:r>
          </w:p>
        </w:tc>
        <w:tc>
          <w:tcPr>
            <w:tcW w:w="6480" w:type="dxa"/>
            <w:tcMar>
              <w:top w:w="60" w:type="dxa"/>
              <w:left w:w="0" w:type="dxa"/>
              <w:bottom w:w="60" w:type="dxa"/>
              <w:right w:w="0" w:type="dxa"/>
            </w:tcMar>
          </w:tcPr>
          <w:p>
            <w:r>
              <w:rPr>
                <w:rFonts w:ascii="Arial" w:hAnsi="Arial" w:cs="Arial"/>
                <w:i/>
                <w:iCs/>
                <w:color w:val="494A4B"/>
                <w:sz w:val="21"/>
                <w:szCs w:val="21"/>
              </w:rPr>
              <w:t xml:space="preserve">garden leave equal to at least 50% of Employee's highest annualized base salary paid within the two years before termination, paid pro rata across the Restricted 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that Mass. Gen. Laws ch. 149, § 24L(b)(iii) permits a noncompetition agreement to protect: Employer's trade secrets, Employer's Confidential Information that would not otherwise qualify as a trade secret, and Employer's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Massachusetts Uniform Trade Secrets Act, Mass. Gen. Laws ch. 93, § 42.</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and agree that the restrictive covenants in this agreement are supported by, and no broader than necessary to protect, one or more of the legitimate business interests that Mass. Gen. Laws ch. 149, § 24L(b)(iii) permits a noncompetition agreement to protect: (A) Employer's trade secrets; (B) Employer's Confidential Information that would not otherwise qualify as a trade secret; or (C) Employer's goodwill. The parties acknowledge that, under Massachusetts law, protection from ordinary competition is not a legitimate business interest.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has the right to consult with counsel prior to signing this agreement. If this agreement is entered into in connection with the commencement of employment, it is provided to Employee by the earlier of a formal offer of employment or 10 business days before the commencement of employment, and is signed by both Employer and Employee (Mass. Gen. Laws ch. 149, § 24L(b)(i)). If this agreement is entered into after the commencement of employment but not in connection with separation, it is supported by fair and reasonable consideration independent from the continuation of employment, and notice of the agreement is provided to Employee at least 10 business days before it is to be effective (Mass. Gen. Laws ch. 149, § 24L(b)(ii)). Employee acknowledges that the restrictions in this agreement are reasonable and necessary to protect Employer's Protected Interests. If the employment relationship later changes materially, Employer may ask Employee to execute a new agreement that complies with the statute then in effect.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Massachusetts law, including the Massachusetts Uniform Trade Secrets Act, Mass. Gen. Laws ch. 93, §§ 42–42G.</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is a covenant not to solicit Employer's customers, clients, or vendors and, under Mass. Gen. Laws ch. 149, § 24L(a), it is not a noncompetition agreement subject to that section's garden-leave, duration, and notice requirements; it is governed by common-law reasonableness and protects Employer's goodwill.</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As a covenant not to transact business with Employer's customers, clients, or vendors, this restriction is excluded from the Massachusetts Noncompetition Agreement Act by Mass. Gen. Laws ch. 149, § 24L(a) and is governed by common-law reasonableness; it protects Employer's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a noncompetition agreement under the Massachusetts Noncompetition Agreement Act, Mass. Gen. Laws ch. 149, § 24L. It is no broader than necessary to protect Employer's Protected Interests, and the Restricted Period for this covenant does not exceed 12 months from the cessation of employment, except that it may extend to no more than 2 years from cessation if Employee has breached a fiduciary duty to Employer or has unlawfully taken, physically or electronically, property belonging to Employer (Mass. Gen. Laws ch. 149, § 24L(b)(iv)). This covenant is supported by the garden leave clause or other mutually-agreed upon consideration stated in Cover Terms (Mass. Gen. Laws ch. 149, § 24L(b)(vii)), and is subject to the worker exemptions stated below. The Restricted Territory is intended to be reasonable in geographic reach, and the Competitive Business is intended to be reasonable in the scope of proscribed activities, each in relation to the Protected Interests (Mass. Gen. Laws ch. 149, § 24L(b)(v)–(vi)); this covenant is intended to be consonant with public policy (Mass. Gen. Laws ch. 149, § 24L(b)(viii)). Consistent with Massachusetts common law, a covenant not to compete is enforceable only if it is necessary to protect a legitimate business interest, reasonably limited in time and space, and consonant with the public interest. Passive Public Holdings are permitted.</w:t>
      </w:r>
    </w:p>
    <w:p>
      <w:pPr>
        <w:pStyle w:val="OABody"/>
        <w:keepNext/>
        <w:numPr>
          <w:ilvl w:val="0"/>
          <w:numId w:val="1"/>
        </w:numPr>
        <w:spacing w:before="320" w:after="120" w:line="340" w:lineRule="auto"/>
        <w:jc w:val="left"/>
      </w:pPr>
      <w:r>
        <w:rPr>
          <w:b/>
          <w:bCs/>
        </w:rPr>
        <w:t xml:space="preserve">Garden Leave or Other Agreed Consideration</w:t>
      </w:r>
    </w:p>
    <w:p>
      <w:pPr>
        <w:pStyle w:val="OABody"/>
        <w:spacing w:before="0" w:after="120" w:line="340" w:lineRule="auto"/>
        <w:ind w:left="720"/>
      </w:pPr>
      <w:r>
        <w:t xml:space="preserve">This noncompetition agreement is supported by the garden leave clause or other mutually-agreed upon consideration stated in Cover Terms, as required by Mass. Gen. Laws ch. 149, § 24L(b)(vii). A qualifying garden leave clause provides for the payment to Employee, on a pro-rata basis during the entirety of the Restricted Period for the non-compete and consistent with the wage-payment requirements of Mass. Gen. Laws ch. 149, § 148, of at least 50 percent of Employee's highest annualized base salary paid by Employer within the 2 years preceding the cessation of employment. Where the parties instead agree to other mutually-agreed upon consideration, that consideration is the amount stated in Cover Terms. Because the statute does not define consideration other than garden leave, the consideration is intended to be sized conservatively against the garden-leave benchmark.</w:t>
      </w:r>
    </w:p>
    <w:p>
      <w:pPr>
        <w:pStyle w:val="OABody"/>
        <w:keepNext/>
        <w:numPr>
          <w:ilvl w:val="0"/>
          <w:numId w:val="1"/>
        </w:numPr>
        <w:spacing w:before="320" w:after="120" w:line="340" w:lineRule="auto"/>
        <w:jc w:val="left"/>
      </w:pPr>
      <w:r>
        <w:rPr>
          <w:b/>
          <w:bCs/>
        </w:rPr>
        <w:t xml:space="preserve">Workers Exempt from the Non-Compete</w:t>
      </w:r>
    </w:p>
    <w:p>
      <w:pPr>
        <w:pStyle w:val="OABody"/>
        <w:spacing w:before="0" w:after="120" w:line="340" w:lineRule="auto"/>
        <w:ind w:left="720"/>
      </w:pPr>
      <w:r>
        <w:t xml:space="preserve">Notwithstanding any other provision of this agreement, the non-compete restriction is not enforceable against, and does not apply to, Employee if Employee falls within any category against which Mass. Gen. Laws ch. 149, § 24L(c) makes a noncompetition agreement unenforceable: (i) an employee classified as nonexempt under the Fair Labor Standards Act, 29 U.S.C. §§ 201–219; (ii) an undergraduate or graduate student engaged in an internship or other short-term employment relationship while enrolled in a full-time or part-time educational program; (iii) an employee who has been terminated without cause or laid off; or (iv) an employee age 18 or younger. For purposes of this section and Mass. Gen. Laws ch. 149, § 24L, the term employee includes an independent contractor under Mass. Gen. Laws ch. 149, § 148B. The other restrictive covenants in this agreement remain in effect to the extent they are otherwise enforceable.</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To the extent this covenant restricts Employee from engaging in activities competitive with Employer after employment ends — for example, serving as a director, officer, manager, or advisor to a Competitive Business — it is a noncompetition agreement under Mass. Gen. Laws ch. 149, § 24L and applies only on the same terms as the non-compete in this agreement, including the garden leave or other agreed consideration, the 12-month duration cap, and the worker exemptions stated above; it does not restrict Passive Public Holdings.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Profession-Specific Non-Compete Bans</w:t>
      </w:r>
    </w:p>
    <w:p>
      <w:pPr>
        <w:pStyle w:val="OABody"/>
        <w:spacing w:before="0" w:after="120" w:line="340" w:lineRule="auto"/>
        <w:ind w:left="720"/>
      </w:pPr>
      <w:r>
        <w:t xml:space="preserve">Notwithstanding any other provision of this agreement, any restriction on Employee's right to practice Employee's profession after the termination of employment is void and unenforceable, while the remaining provisions of this agreement continue in effect, if Employee is a physician registered to practice medicine (Mass. Gen. Laws ch. 112, § 12X), a registered or practical nurse (Mass. Gen. Laws ch. 112, § 74D), a licensed psychologist (Mass. Gen. Laws ch. 112, § 129B), or a licensed social worker (Mass. Gen. Laws ch. 112, § 135C). If Employee is employed or engaged in the broadcasting industry, any restriction on Employee's right to obtain subsequent employment is void and unenforceable where Employer terminated the employment, the parties ended the employment relationship by mutual agreement, or the contract expired, and a violation of that prohibition exposes Employer to the affected Employee's reasonable attorneys' fees and costs (Mass. Gen. Laws ch. 149, § 186).</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provided that, for the non-compete, no extension under this section may cause the Restricted Period to run beyond the latest point permitted by Mass. Gen. Laws ch. 149, § 24L(b)(iv) — that is, beyond 12 months from the cessation of employment, or beyond 2 years from the cessation of employment only where Employee has breached a fiduciary duty to Employer or has unlawfully taken, physically or electronically, property belonging to Employer. Because Massachusetts courts will not equitably extend a noncompetition restraint beyond its stated term (see EMC Corp. v. Arturi and Automile Holdings, LLC v. McGovern), this express provision is the parties' agreed mechanism for any extension during a breach, and it cannot lengthen the non-compete beyond that statutory ceiling.</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The parties acknowledge that, under Mass. Gen. Laws ch. 149, § 24L(d), a court may, in its discretion, reform or otherwise revise a noncompetition agreement so as to render it valid and enforceable to the extent necessary to protect Employer's applicable legitimate business interests, and Employer requests such reformation if any restraint in this agreement is found to be overbroad. Because that reformation power is discretionary, the parties intend each restrictive covenant in this agreement to be drawn no broader than necessary and to be independently enforceable, rather than to rely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successor or acquirer of all or substantially all of Employer's business or assets. The Employer named in this agreement is the entity that actually employs Employee. Because Mass. Gen. Laws ch. 149, § 24L governs an agreement between an employer and an employee, the noncompetition obligations run to and are enforceable by that employing entity, and are not intended to be enforced by a parent, holding company, or affiliate that is not Employee's employer.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Massachusetts Noncompetition Agreement Act, Mass. Gen. Laws ch. 149, § 24L, for agreements entered into on or after October 1, 2018. No choice-of-law provision shall be applied to avoid the requirements of Mass. Gen. Laws ch. 149, § 24L if Employee is, and has been for at least 30 days immediately preceding the cessation of employment, a resident of or employed in Massachusetts. All civil actions relating to the noncompetition agreement in this agreement shall be brought in the county where Employee resides or, if Employer and Employee mutually agree, in Suffolk County, as required by Mass. Gen. Laws ch. 149, § 24L(f).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(Massachusetts)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