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F1C9" w14:textId="77777777" w:rsidR="00170C6E" w:rsidRDefault="00000000">
      <w:pPr>
        <w:rPr>
          <w:rFonts w:ascii="Georgia" w:eastAsia="Georgia" w:hAnsi="Georgia" w:cs="Georgia"/>
          <w:sz w:val="44"/>
          <w:szCs w:val="44"/>
        </w:rPr>
      </w:pPr>
      <w:r>
        <w:rPr>
          <w:rFonts w:ascii="Georgia" w:eastAsia="Georgia" w:hAnsi="Georgia" w:cs="Georgia"/>
          <w:sz w:val="44"/>
          <w:szCs w:val="44"/>
        </w:rPr>
        <w:t>Data Processing Agreement</w:t>
      </w:r>
    </w:p>
    <w:p w14:paraId="54E08495" w14:textId="77777777" w:rsidR="00170C6E" w:rsidRDefault="00170C6E">
      <w:pPr>
        <w:rPr>
          <w:rFonts w:ascii="Arial" w:eastAsia="Arial" w:hAnsi="Arial" w:cs="Arial"/>
          <w:sz w:val="16"/>
          <w:szCs w:val="16"/>
        </w:rPr>
      </w:pPr>
    </w:p>
    <w:tbl>
      <w:tblPr>
        <w:tblStyle w:val="a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170C6E" w14:paraId="53666573" w14:textId="77777777">
        <w:tc>
          <w:tcPr>
            <w:tcW w:w="10070" w:type="dxa"/>
            <w:tcBorders>
              <w:top w:val="nil"/>
              <w:left w:val="nil"/>
              <w:bottom w:val="nil"/>
              <w:right w:val="nil"/>
            </w:tcBorders>
            <w:shd w:val="clear" w:color="auto" w:fill="F8F2EB"/>
          </w:tcPr>
          <w:p w14:paraId="444B3CCB" w14:textId="77777777" w:rsidR="00170C6E" w:rsidRDefault="00000000">
            <w:pPr>
              <w:spacing w:before="120" w:after="120"/>
              <w:jc w:val="both"/>
              <w:rPr>
                <w:rFonts w:ascii="Arial" w:eastAsia="Arial" w:hAnsi="Arial" w:cs="Arial"/>
                <w:b/>
                <w:color w:val="494A4B"/>
                <w:sz w:val="16"/>
                <w:szCs w:val="16"/>
              </w:rPr>
            </w:pPr>
            <w:r>
              <w:rPr>
                <w:rFonts w:ascii="Arial" w:eastAsia="Arial" w:hAnsi="Arial" w:cs="Arial"/>
                <w:b/>
                <w:color w:val="494A4B"/>
                <w:sz w:val="16"/>
                <w:szCs w:val="16"/>
              </w:rPr>
              <w:t>USING THIS DPA</w:t>
            </w:r>
          </w:p>
          <w:p w14:paraId="15680A78" w14:textId="77777777" w:rsidR="00170C6E" w:rsidRDefault="00000000">
            <w:pPr>
              <w:spacing w:before="120" w:after="120"/>
              <w:jc w:val="both"/>
              <w:rPr>
                <w:rFonts w:ascii="Arial" w:eastAsia="Arial" w:hAnsi="Arial" w:cs="Arial"/>
                <w:color w:val="326F84"/>
                <w:sz w:val="16"/>
                <w:szCs w:val="16"/>
                <w:u w:val="single"/>
              </w:rPr>
            </w:pPr>
            <w:r>
              <w:rPr>
                <w:rFonts w:ascii="Arial" w:eastAsia="Arial" w:hAnsi="Arial" w:cs="Arial"/>
                <w:color w:val="494A4B"/>
                <w:sz w:val="16"/>
                <w:szCs w:val="16"/>
              </w:rPr>
              <w:t xml:space="preserve">This DPA has 2 parts: (1) the Key Terms on this Cover Page and (2) the Common Paper DPA Standard Terms Version 1.1 posted at </w:t>
            </w:r>
            <w:hyperlink r:id="rId8">
              <w:r>
                <w:rPr>
                  <w:rFonts w:ascii="Arial" w:eastAsia="Arial" w:hAnsi="Arial" w:cs="Arial"/>
                  <w:color w:val="117086"/>
                  <w:sz w:val="16"/>
                  <w:szCs w:val="16"/>
                  <w:u w:val="single"/>
                </w:rPr>
                <w:t>http://commonpaper.com/standards/data-processing-agreement/1.1/</w:t>
              </w:r>
            </w:hyperlink>
            <w:r>
              <w:rPr>
                <w:rFonts w:ascii="Arial" w:eastAsia="Arial" w:hAnsi="Arial" w:cs="Arial"/>
                <w:color w:val="494A4B"/>
                <w:sz w:val="16"/>
                <w:szCs w:val="16"/>
              </w:rPr>
              <w:t xml:space="preserve"> (“</w:t>
            </w:r>
            <w:r>
              <w:rPr>
                <w:rFonts w:ascii="Arial" w:eastAsia="Arial" w:hAnsi="Arial" w:cs="Arial"/>
                <w:b/>
                <w:color w:val="494A4B"/>
                <w:sz w:val="16"/>
                <w:szCs w:val="16"/>
              </w:rPr>
              <w:t>DPA</w:t>
            </w:r>
            <w:r>
              <w:rPr>
                <w:rFonts w:ascii="Arial" w:eastAsia="Arial" w:hAnsi="Arial" w:cs="Arial"/>
                <w:color w:val="494A4B"/>
                <w:sz w:val="16"/>
                <w:szCs w:val="16"/>
              </w:rPr>
              <w:t xml:space="preserve"> </w:t>
            </w:r>
            <w:r>
              <w:rPr>
                <w:rFonts w:ascii="Arial" w:eastAsia="Arial" w:hAnsi="Arial" w:cs="Arial"/>
                <w:b/>
                <w:color w:val="494A4B"/>
                <w:sz w:val="16"/>
                <w:szCs w:val="16"/>
              </w:rPr>
              <w:t>Standard Terms</w:t>
            </w:r>
            <w:r>
              <w:rPr>
                <w:rFonts w:ascii="Arial" w:eastAsia="Arial" w:hAnsi="Arial" w:cs="Arial"/>
                <w:color w:val="494A4B"/>
                <w:sz w:val="16"/>
                <w:szCs w:val="16"/>
              </w:rPr>
              <w:t xml:space="preserve">”), which is incorporated by reference. If there is any inconsistency between the parts of the DPA, the Cover Page will control over the DPA Standard Terms. Capitalized and </w:t>
            </w:r>
            <w:r>
              <w:rPr>
                <w:rFonts w:ascii="Arial" w:eastAsia="Arial" w:hAnsi="Arial" w:cs="Arial"/>
                <w:b/>
                <w:color w:val="117086"/>
                <w:sz w:val="16"/>
                <w:szCs w:val="16"/>
              </w:rPr>
              <w:t>highlighted</w:t>
            </w:r>
            <w:r>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 and the correlating clause, sentence, or section does not apply to this DPA. All other capitalized words have the meanings given in the DPA Standard Terms or the </w:t>
            </w:r>
            <w:r>
              <w:rPr>
                <w:rFonts w:ascii="Arial" w:eastAsia="Arial" w:hAnsi="Arial" w:cs="Arial"/>
                <w:b/>
                <w:color w:val="117086"/>
                <w:sz w:val="16"/>
                <w:szCs w:val="16"/>
              </w:rPr>
              <w:t>Agreement</w:t>
            </w:r>
            <w:r>
              <w:rPr>
                <w:rFonts w:ascii="Arial" w:eastAsia="Arial" w:hAnsi="Arial" w:cs="Arial"/>
                <w:color w:val="494A4B"/>
                <w:sz w:val="16"/>
                <w:szCs w:val="16"/>
              </w:rPr>
              <w:t>. A copy of the DPA Standard Terms is attached for convenience only.</w:t>
            </w:r>
          </w:p>
        </w:tc>
      </w:tr>
    </w:tbl>
    <w:p w14:paraId="1A4ECE09" w14:textId="77777777" w:rsidR="00170C6E" w:rsidRDefault="00170C6E">
      <w:pPr>
        <w:widowControl w:val="0"/>
        <w:pBdr>
          <w:top w:val="nil"/>
          <w:left w:val="nil"/>
          <w:bottom w:val="nil"/>
          <w:right w:val="nil"/>
          <w:between w:val="nil"/>
        </w:pBdr>
        <w:spacing w:line="276" w:lineRule="auto"/>
        <w:rPr>
          <w:rFonts w:ascii="Arial" w:eastAsia="Arial" w:hAnsi="Arial" w:cs="Arial"/>
          <w:color w:val="326F84"/>
          <w:sz w:val="16"/>
          <w:szCs w:val="16"/>
          <w:u w:val="single"/>
        </w:rPr>
      </w:pPr>
    </w:p>
    <w:tbl>
      <w:tblPr>
        <w:tblStyle w:val="a4"/>
        <w:tblW w:w="10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60"/>
        <w:gridCol w:w="180"/>
      </w:tblGrid>
      <w:tr w:rsidR="00170C6E" w14:paraId="479F90C3" w14:textId="77777777">
        <w:trPr>
          <w:gridAfter w:val="1"/>
          <w:trHeight w:val="440"/>
        </w:trPr>
        <w:tc>
          <w:tcPr>
            <w:tcW w:w="10080" w:type="dxa"/>
            <w:gridSpan w:val="2"/>
            <w:tcBorders>
              <w:top w:val="nil"/>
              <w:left w:val="nil"/>
              <w:bottom w:val="single" w:sz="4" w:space="0" w:color="C7C7C7"/>
              <w:right w:val="nil"/>
            </w:tcBorders>
            <w:tcMar>
              <w:top w:w="144" w:type="dxa"/>
              <w:left w:w="115" w:type="dxa"/>
              <w:bottom w:w="144" w:type="dxa"/>
              <w:right w:w="115" w:type="dxa"/>
            </w:tcMar>
            <w:vAlign w:val="center"/>
          </w:tcPr>
          <w:p w14:paraId="5C430044" w14:textId="77777777" w:rsidR="00170C6E" w:rsidRDefault="00000000">
            <w:pPr>
              <w:keepNext/>
              <w:keepLines/>
              <w:ind w:left="-117"/>
              <w:rPr>
                <w:rFonts w:ascii="Arial" w:eastAsia="Arial" w:hAnsi="Arial" w:cs="Arial"/>
                <w:b/>
                <w:color w:val="117086"/>
              </w:rPr>
            </w:pPr>
            <w:r>
              <w:rPr>
                <w:rFonts w:ascii="Arial" w:eastAsia="Arial" w:hAnsi="Arial" w:cs="Arial"/>
                <w:b/>
                <w:color w:val="117086"/>
              </w:rPr>
              <w:t>Key Terms</w:t>
            </w:r>
          </w:p>
          <w:p w14:paraId="116E181B" w14:textId="77777777" w:rsidR="00170C6E" w:rsidRDefault="00000000">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the DPA are as follows:</w:t>
            </w:r>
          </w:p>
        </w:tc>
      </w:tr>
      <w:tr w:rsidR="00170C6E" w14:paraId="70011CF7"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F815138" w14:textId="77777777" w:rsidR="00170C6E" w:rsidRDefault="00000000">
            <w:pPr>
              <w:rPr>
                <w:rFonts w:ascii="Arial" w:eastAsia="Arial" w:hAnsi="Arial" w:cs="Arial"/>
                <w:b/>
                <w:sz w:val="18"/>
                <w:szCs w:val="18"/>
              </w:rPr>
            </w:pPr>
            <w:r>
              <w:rPr>
                <w:rFonts w:ascii="Arial" w:eastAsia="Arial" w:hAnsi="Arial" w:cs="Arial"/>
                <w:b/>
                <w:sz w:val="18"/>
                <w:szCs w:val="18"/>
              </w:rPr>
              <w:t>Agreement</w:t>
            </w:r>
          </w:p>
        </w:tc>
        <w:tc>
          <w:tcPr>
            <w:tcW w:w="6660" w:type="dxa"/>
            <w:tcBorders>
              <w:top w:val="single" w:sz="4" w:space="0" w:color="C7C7C7"/>
              <w:left w:val="nil"/>
              <w:bottom w:val="single" w:sz="4" w:space="0" w:color="C7C7C7"/>
              <w:right w:val="nil"/>
            </w:tcBorders>
            <w:vAlign w:val="center"/>
          </w:tcPr>
          <w:p w14:paraId="2F15BD04" w14:textId="77777777" w:rsidR="00170C6E" w:rsidRDefault="00000000">
            <w:pPr>
              <w:ind w:left="-21"/>
              <w:rPr>
                <w:rFonts w:ascii="Arial" w:eastAsia="Arial" w:hAnsi="Arial" w:cs="Arial"/>
                <w:sz w:val="16"/>
                <w:szCs w:val="16"/>
              </w:rPr>
            </w:pPr>
            <w:r>
              <w:rPr>
                <w:rFonts w:ascii="Arial" w:eastAsia="Arial" w:hAnsi="Arial" w:cs="Arial"/>
                <w:sz w:val="16"/>
                <w:szCs w:val="16"/>
              </w:rPr>
              <w:t xml:space="preserve">This DPA supplements the </w:t>
            </w:r>
            <w:r>
              <w:rPr>
                <w:rFonts w:ascii="Arial" w:eastAsia="Arial" w:hAnsi="Arial" w:cs="Arial"/>
                <w:sz w:val="16"/>
                <w:szCs w:val="16"/>
                <w:highlight w:val="yellow"/>
              </w:rPr>
              <w:t>{underlying_agreement}</w:t>
            </w:r>
            <w:r>
              <w:rPr>
                <w:rFonts w:ascii="Arial" w:eastAsia="Arial" w:hAnsi="Arial" w:cs="Arial"/>
                <w:sz w:val="16"/>
                <w:szCs w:val="16"/>
              </w:rPr>
              <w:t>.</w:t>
            </w:r>
          </w:p>
        </w:tc>
      </w:tr>
      <w:tr w:rsidR="00170C6E" w14:paraId="32CD4AA7" w14:textId="77777777">
        <w:trPr>
          <w:gridAfter w:val="1"/>
          <w:trHeight w:val="1025"/>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5C119C0" w14:textId="77777777" w:rsidR="00170C6E" w:rsidRDefault="00000000">
            <w:pPr>
              <w:rPr>
                <w:rFonts w:ascii="Arial" w:eastAsia="Arial" w:hAnsi="Arial" w:cs="Arial"/>
                <w:b/>
                <w:sz w:val="18"/>
                <w:szCs w:val="18"/>
              </w:rPr>
            </w:pPr>
            <w:r>
              <w:rPr>
                <w:rFonts w:ascii="Arial" w:eastAsia="Arial" w:hAnsi="Arial" w:cs="Arial"/>
                <w:b/>
                <w:sz w:val="18"/>
                <w:szCs w:val="18"/>
              </w:rPr>
              <w:t>Approved Subprocessors</w:t>
            </w:r>
          </w:p>
        </w:tc>
        <w:tc>
          <w:tcPr>
            <w:tcW w:w="6660" w:type="dxa"/>
            <w:tcBorders>
              <w:top w:val="single" w:sz="4" w:space="0" w:color="C7C7C7"/>
              <w:left w:val="nil"/>
              <w:bottom w:val="single" w:sz="4" w:space="0" w:color="C7C7C7"/>
              <w:right w:val="nil"/>
            </w:tcBorders>
            <w:vAlign w:val="center"/>
          </w:tcPr>
          <w:p w14:paraId="0C05DBDB"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identify all subprocessors or link to a list of subprocessors available online. ]</w:t>
            </w:r>
          </w:p>
          <w:p w14:paraId="57D012D6" w14:textId="77777777" w:rsidR="00170C6E" w:rsidRDefault="00170C6E">
            <w:pPr>
              <w:rPr>
                <w:rFonts w:ascii="Arial" w:eastAsia="Arial" w:hAnsi="Arial" w:cs="Arial"/>
                <w:color w:val="000000"/>
                <w:sz w:val="16"/>
                <w:szCs w:val="16"/>
              </w:rPr>
            </w:pPr>
          </w:p>
          <w:p w14:paraId="646F7102" w14:textId="77777777" w:rsidR="00170C6E" w:rsidRDefault="00000000">
            <w:pPr>
              <w:tabs>
                <w:tab w:val="left" w:pos="518"/>
              </w:tabs>
              <w:rPr>
                <w:rFonts w:ascii="Arial" w:eastAsia="Arial" w:hAnsi="Arial" w:cs="Arial"/>
                <w:color w:val="000000"/>
                <w:sz w:val="16"/>
                <w:szCs w:val="16"/>
              </w:rPr>
            </w:pPr>
            <w:r>
              <w:rPr>
                <w:rFonts w:ascii="Arial" w:eastAsia="Arial" w:hAnsi="Arial" w:cs="Arial"/>
                <w:sz w:val="16"/>
                <w:szCs w:val="16"/>
              </w:rPr>
              <w:t>[ x ]</w:t>
            </w:r>
            <w:r>
              <w:rPr>
                <w:rFonts w:ascii="Arial" w:eastAsia="Arial" w:hAnsi="Arial" w:cs="Arial"/>
                <w:sz w:val="16"/>
                <w:szCs w:val="16"/>
              </w:rPr>
              <w:tab/>
            </w:r>
            <w:r>
              <w:rPr>
                <w:rFonts w:ascii="Arial" w:eastAsia="Arial" w:hAnsi="Arial" w:cs="Arial"/>
                <w:color w:val="000000"/>
                <w:sz w:val="16"/>
                <w:szCs w:val="16"/>
              </w:rPr>
              <w:t xml:space="preserve">List of Subprocessors available at </w:t>
            </w:r>
            <w:r>
              <w:rPr>
                <w:rFonts w:ascii="Arial" w:eastAsia="Arial" w:hAnsi="Arial" w:cs="Arial"/>
                <w:color w:val="000000"/>
                <w:sz w:val="16"/>
                <w:szCs w:val="16"/>
                <w:highlight w:val="yellow"/>
              </w:rPr>
              <w:t>{url}</w:t>
            </w:r>
          </w:p>
          <w:p w14:paraId="224F4EB1" w14:textId="77777777" w:rsidR="00170C6E" w:rsidRDefault="00170C6E">
            <w:pPr>
              <w:tabs>
                <w:tab w:val="left" w:pos="518"/>
              </w:tabs>
              <w:rPr>
                <w:rFonts w:ascii="Arial" w:eastAsia="Arial" w:hAnsi="Arial" w:cs="Arial"/>
                <w:sz w:val="16"/>
                <w:szCs w:val="16"/>
              </w:rPr>
            </w:pPr>
          </w:p>
          <w:p w14:paraId="578AA488" w14:textId="77777777" w:rsidR="00170C6E" w:rsidRDefault="00000000">
            <w:pPr>
              <w:tabs>
                <w:tab w:val="left" w:pos="518"/>
              </w:tabs>
              <w:rPr>
                <w:rFonts w:ascii="Arial" w:eastAsia="Arial" w:hAnsi="Arial" w:cs="Arial"/>
                <w:color w:val="000000"/>
                <w:sz w:val="16"/>
                <w:szCs w:val="16"/>
                <w:highlight w:val="yellow"/>
              </w:rPr>
            </w:pPr>
            <w:r>
              <w:rPr>
                <w:rFonts w:ascii="Arial" w:eastAsia="Arial" w:hAnsi="Arial" w:cs="Arial"/>
                <w:sz w:val="16"/>
                <w:szCs w:val="16"/>
              </w:rPr>
              <w:t>[    ]</w:t>
            </w:r>
            <w:r>
              <w:rPr>
                <w:rFonts w:ascii="Arial" w:eastAsia="Arial" w:hAnsi="Arial" w:cs="Arial"/>
                <w:sz w:val="16"/>
                <w:szCs w:val="16"/>
              </w:rPr>
              <w:tab/>
            </w:r>
            <w:r>
              <w:rPr>
                <w:rFonts w:ascii="Arial" w:eastAsia="Arial" w:hAnsi="Arial" w:cs="Arial"/>
                <w:color w:val="000000"/>
                <w:sz w:val="16"/>
                <w:szCs w:val="16"/>
              </w:rPr>
              <w:t>{subprocessor_name}</w:t>
            </w:r>
          </w:p>
          <w:p w14:paraId="7CD6D323" w14:textId="77777777" w:rsidR="00170C6E" w:rsidRDefault="00000000">
            <w:pPr>
              <w:tabs>
                <w:tab w:val="left" w:pos="519"/>
              </w:tabs>
              <w:rPr>
                <w:rFonts w:ascii="Arial" w:eastAsia="Arial" w:hAnsi="Arial" w:cs="Arial"/>
                <w:color w:val="000000"/>
                <w:sz w:val="16"/>
                <w:szCs w:val="16"/>
                <w:highlight w:val="yellow"/>
              </w:rPr>
            </w:pPr>
            <w:r>
              <w:rPr>
                <w:rFonts w:ascii="Arial" w:eastAsia="Arial" w:hAnsi="Arial" w:cs="Arial"/>
                <w:color w:val="000000"/>
                <w:sz w:val="16"/>
                <w:szCs w:val="16"/>
              </w:rPr>
              <w:tab/>
              <w:t xml:space="preserve">Country of location: </w:t>
            </w:r>
            <w:r>
              <w:rPr>
                <w:rFonts w:ascii="Arial" w:eastAsia="Arial" w:hAnsi="Arial" w:cs="Arial"/>
                <w:color w:val="000000"/>
                <w:sz w:val="16"/>
                <w:szCs w:val="16"/>
                <w:highlight w:val="yellow"/>
              </w:rPr>
              <w:t>{countries_list}</w:t>
            </w:r>
          </w:p>
          <w:p w14:paraId="586EEED5" w14:textId="77777777" w:rsidR="00170C6E" w:rsidRDefault="00000000">
            <w:pPr>
              <w:tabs>
                <w:tab w:val="left" w:pos="518"/>
              </w:tabs>
              <w:rPr>
                <w:rFonts w:ascii="Arial" w:eastAsia="Arial" w:hAnsi="Arial" w:cs="Arial"/>
                <w:color w:val="000000"/>
                <w:sz w:val="16"/>
                <w:szCs w:val="16"/>
                <w:highlight w:val="yellow"/>
              </w:rPr>
            </w:pPr>
            <w:r>
              <w:rPr>
                <w:rFonts w:ascii="Arial" w:eastAsia="Arial" w:hAnsi="Arial" w:cs="Arial"/>
                <w:color w:val="000000"/>
                <w:sz w:val="16"/>
                <w:szCs w:val="16"/>
              </w:rPr>
              <w:tab/>
              <w:t xml:space="preserve">Anticipated Processing task: </w:t>
            </w:r>
            <w:r>
              <w:rPr>
                <w:rFonts w:ascii="Arial" w:eastAsia="Arial" w:hAnsi="Arial" w:cs="Arial"/>
                <w:color w:val="000000"/>
                <w:sz w:val="16"/>
                <w:szCs w:val="16"/>
                <w:highlight w:val="yellow"/>
              </w:rPr>
              <w:t>{text_box}</w:t>
            </w:r>
          </w:p>
        </w:tc>
      </w:tr>
      <w:tr w:rsidR="00170C6E" w14:paraId="4103AD77"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8B5CA61" w14:textId="77777777" w:rsidR="00170C6E" w:rsidRDefault="00000000">
            <w:pPr>
              <w:rPr>
                <w:rFonts w:ascii="Arial" w:eastAsia="Arial" w:hAnsi="Arial" w:cs="Arial"/>
                <w:b/>
                <w:sz w:val="18"/>
                <w:szCs w:val="18"/>
              </w:rPr>
            </w:pPr>
            <w:r>
              <w:rPr>
                <w:rFonts w:ascii="Arial" w:eastAsia="Arial" w:hAnsi="Arial" w:cs="Arial"/>
                <w:b/>
                <w:sz w:val="18"/>
                <w:szCs w:val="18"/>
              </w:rPr>
              <w:t>Provider Security Contact</w:t>
            </w:r>
          </w:p>
        </w:tc>
        <w:tc>
          <w:tcPr>
            <w:tcW w:w="6660" w:type="dxa"/>
            <w:tcBorders>
              <w:top w:val="single" w:sz="4" w:space="0" w:color="C7C7C7"/>
              <w:left w:val="nil"/>
              <w:bottom w:val="single" w:sz="4" w:space="0" w:color="C7C7C7"/>
              <w:right w:val="nil"/>
            </w:tcBorders>
            <w:vAlign w:val="center"/>
          </w:tcPr>
          <w:p w14:paraId="41219952" w14:textId="77777777" w:rsidR="00170C6E" w:rsidRDefault="00000000">
            <w:pPr>
              <w:tabs>
                <w:tab w:val="left" w:pos="519"/>
              </w:tabs>
              <w:spacing w:line="276" w:lineRule="auto"/>
              <w:rPr>
                <w:rFonts w:ascii="Arial" w:eastAsia="Arial" w:hAnsi="Arial" w:cs="Arial"/>
                <w:i/>
                <w:sz w:val="16"/>
                <w:szCs w:val="16"/>
                <w:highlight w:val="lightGray"/>
              </w:rPr>
            </w:pPr>
            <w:r>
              <w:rPr>
                <w:rFonts w:ascii="Arial" w:eastAsia="Arial" w:hAnsi="Arial" w:cs="Arial"/>
                <w:color w:val="000000"/>
                <w:sz w:val="16"/>
                <w:szCs w:val="16"/>
                <w:highlight w:val="yellow"/>
              </w:rPr>
              <w:t>{contact_address}</w:t>
            </w:r>
          </w:p>
        </w:tc>
      </w:tr>
      <w:tr w:rsidR="00170C6E" w14:paraId="10159646"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227D6E" w14:textId="77777777" w:rsidR="00170C6E" w:rsidRDefault="00000000">
            <w:pPr>
              <w:rPr>
                <w:rFonts w:ascii="Arial" w:eastAsia="Arial" w:hAnsi="Arial" w:cs="Arial"/>
                <w:b/>
                <w:sz w:val="18"/>
                <w:szCs w:val="18"/>
              </w:rPr>
            </w:pPr>
            <w:r>
              <w:rPr>
                <w:rFonts w:ascii="Arial" w:eastAsia="Arial" w:hAnsi="Arial" w:cs="Arial"/>
                <w:b/>
                <w:sz w:val="18"/>
                <w:szCs w:val="18"/>
              </w:rPr>
              <w:t>Security Policy</w:t>
            </w:r>
          </w:p>
        </w:tc>
        <w:tc>
          <w:tcPr>
            <w:tcW w:w="6660" w:type="dxa"/>
            <w:tcBorders>
              <w:top w:val="single" w:sz="4" w:space="0" w:color="C7C7C7"/>
              <w:left w:val="nil"/>
              <w:bottom w:val="single" w:sz="4" w:space="0" w:color="C7C7C7"/>
              <w:right w:val="nil"/>
            </w:tcBorders>
            <w:vAlign w:val="center"/>
          </w:tcPr>
          <w:p w14:paraId="5732BE93" w14:textId="77777777" w:rsidR="00170C6E" w:rsidRDefault="00000000">
            <w:pPr>
              <w:keepNext/>
              <w:keepLines/>
              <w:spacing w:line="276" w:lineRule="auto"/>
              <w:ind w:firstLine="1"/>
              <w:rPr>
                <w:rFonts w:ascii="Arial" w:eastAsia="Arial" w:hAnsi="Arial" w:cs="Arial"/>
                <w:color w:val="000000"/>
                <w:sz w:val="16"/>
                <w:szCs w:val="16"/>
              </w:rPr>
            </w:pPr>
            <w:r>
              <w:rPr>
                <w:rFonts w:ascii="Arial" w:eastAsia="Arial" w:hAnsi="Arial" w:cs="Arial"/>
                <w:i/>
                <w:sz w:val="16"/>
                <w:szCs w:val="16"/>
                <w:highlight w:val="lightGray"/>
              </w:rPr>
              <w:t>[ d</w:t>
            </w:r>
            <w:r>
              <w:rPr>
                <w:rFonts w:ascii="Arial" w:eastAsia="Arial" w:hAnsi="Arial" w:cs="Arial"/>
                <w:i/>
                <w:color w:val="000000"/>
                <w:sz w:val="16"/>
                <w:szCs w:val="16"/>
                <w:highlight w:val="lightGray"/>
              </w:rPr>
              <w:t>rafting note: check and customize those that apply and delete the rest. ]</w:t>
            </w:r>
          </w:p>
          <w:p w14:paraId="50C5F088" w14:textId="77777777" w:rsidR="00170C6E" w:rsidRDefault="00170C6E">
            <w:pPr>
              <w:tabs>
                <w:tab w:val="left" w:pos="520"/>
              </w:tabs>
              <w:rPr>
                <w:rFonts w:ascii="Arial" w:eastAsia="Arial" w:hAnsi="Arial" w:cs="Arial"/>
                <w:sz w:val="16"/>
                <w:szCs w:val="16"/>
              </w:rPr>
            </w:pPr>
          </w:p>
          <w:p w14:paraId="54A97728" w14:textId="77777777" w:rsidR="00170C6E" w:rsidRDefault="00000000">
            <w:pPr>
              <w:tabs>
                <w:tab w:val="left" w:pos="520"/>
              </w:tabs>
              <w:rPr>
                <w:rFonts w:ascii="Arial" w:eastAsia="Arial" w:hAnsi="Arial" w:cs="Arial"/>
                <w:color w:val="000000"/>
                <w:sz w:val="16"/>
                <w:szCs w:val="16"/>
              </w:rPr>
            </w:pPr>
            <w:r>
              <w:rPr>
                <w:rFonts w:ascii="Arial" w:eastAsia="Arial" w:hAnsi="Arial" w:cs="Arial"/>
                <w:sz w:val="16"/>
                <w:szCs w:val="16"/>
              </w:rPr>
              <w:t>[ x ]</w:t>
            </w:r>
            <w:r>
              <w:rPr>
                <w:rFonts w:ascii="Arial" w:eastAsia="Arial" w:hAnsi="Arial" w:cs="Arial"/>
                <w:sz w:val="16"/>
                <w:szCs w:val="16"/>
              </w:rPr>
              <w:tab/>
            </w:r>
            <w:r>
              <w:rPr>
                <w:rFonts w:ascii="Arial" w:eastAsia="Arial" w:hAnsi="Arial" w:cs="Arial"/>
                <w:color w:val="000000"/>
                <w:sz w:val="16"/>
                <w:szCs w:val="16"/>
              </w:rPr>
              <w:t>As defined in the Agreement.</w:t>
            </w:r>
          </w:p>
          <w:p w14:paraId="044D2D00" w14:textId="77777777" w:rsidR="00170C6E" w:rsidRDefault="00170C6E">
            <w:pPr>
              <w:tabs>
                <w:tab w:val="left" w:pos="520"/>
              </w:tabs>
              <w:rPr>
                <w:rFonts w:ascii="Arial" w:eastAsia="Arial" w:hAnsi="Arial" w:cs="Arial"/>
                <w:color w:val="000000"/>
                <w:sz w:val="16"/>
                <w:szCs w:val="16"/>
              </w:rPr>
            </w:pPr>
          </w:p>
          <w:p w14:paraId="1FC408F5" w14:textId="77777777" w:rsidR="00170C6E" w:rsidRDefault="00000000">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Provider will use commercially reasonable efforts to secure the Service from unauthorized access, alteration, or use and other unlawful tampering.</w:t>
            </w:r>
          </w:p>
          <w:p w14:paraId="3E985C12" w14:textId="77777777" w:rsidR="00170C6E" w:rsidRDefault="00170C6E">
            <w:pPr>
              <w:keepNext/>
              <w:keepLines/>
              <w:spacing w:line="276" w:lineRule="auto"/>
              <w:ind w:left="519" w:hanging="519"/>
              <w:rPr>
                <w:rFonts w:ascii="Arial" w:eastAsia="Arial" w:hAnsi="Arial" w:cs="Arial"/>
                <w:color w:val="000000"/>
                <w:sz w:val="16"/>
                <w:szCs w:val="16"/>
              </w:rPr>
            </w:pPr>
          </w:p>
          <w:p w14:paraId="7610F9CC" w14:textId="77777777" w:rsidR="00170C6E" w:rsidRDefault="00000000">
            <w:pPr>
              <w:keepNext/>
              <w:keepLines/>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Security Policy available at </w:t>
            </w:r>
            <w:r>
              <w:rPr>
                <w:rFonts w:ascii="Arial" w:eastAsia="Arial" w:hAnsi="Arial" w:cs="Arial"/>
                <w:color w:val="000000"/>
                <w:sz w:val="16"/>
                <w:szCs w:val="16"/>
                <w:highlight w:val="yellow"/>
              </w:rPr>
              <w:t>{policy_url}</w:t>
            </w:r>
          </w:p>
          <w:p w14:paraId="044C1075" w14:textId="77777777" w:rsidR="00170C6E" w:rsidRDefault="00170C6E">
            <w:pPr>
              <w:keepNext/>
              <w:keepLines/>
              <w:tabs>
                <w:tab w:val="left" w:pos="519"/>
              </w:tabs>
              <w:spacing w:line="276" w:lineRule="auto"/>
              <w:rPr>
                <w:rFonts w:ascii="Arial" w:eastAsia="Arial" w:hAnsi="Arial" w:cs="Arial"/>
                <w:color w:val="000000"/>
                <w:sz w:val="16"/>
                <w:szCs w:val="16"/>
              </w:rPr>
            </w:pPr>
          </w:p>
          <w:p w14:paraId="75200A07" w14:textId="77777777" w:rsidR="00170C6E" w:rsidRDefault="00000000">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Provider will maintain annually updated reports or annual certifications of compliance with the following:</w:t>
            </w:r>
          </w:p>
          <w:tbl>
            <w:tblPr>
              <w:tblStyle w:val="a5"/>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170C6E" w14:paraId="774A6A3A" w14:textId="77777777">
              <w:tc>
                <w:tcPr>
                  <w:tcW w:w="2925" w:type="dxa"/>
                </w:tcPr>
                <w:p w14:paraId="692DB137"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ISO 27001</w:t>
                  </w:r>
                </w:p>
              </w:tc>
              <w:tc>
                <w:tcPr>
                  <w:tcW w:w="2966" w:type="dxa"/>
                </w:tcPr>
                <w:p w14:paraId="18F482CB"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Penetration testing</w:t>
                  </w:r>
                </w:p>
              </w:tc>
            </w:tr>
            <w:tr w:rsidR="00170C6E" w14:paraId="62FE7FAF" w14:textId="77777777">
              <w:tc>
                <w:tcPr>
                  <w:tcW w:w="2925" w:type="dxa"/>
                </w:tcPr>
                <w:p w14:paraId="7CDA3405"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SOC 2 Type I</w:t>
                  </w:r>
                </w:p>
              </w:tc>
              <w:tc>
                <w:tcPr>
                  <w:tcW w:w="2966" w:type="dxa"/>
                </w:tcPr>
                <w:p w14:paraId="5A0A94E2"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PCI Level 1</w:t>
                  </w:r>
                </w:p>
              </w:tc>
            </w:tr>
            <w:tr w:rsidR="00170C6E" w14:paraId="2E849972" w14:textId="77777777">
              <w:tc>
                <w:tcPr>
                  <w:tcW w:w="2925" w:type="dxa"/>
                </w:tcPr>
                <w:p w14:paraId="587557C1"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SOC 2 Type II</w:t>
                  </w:r>
                </w:p>
              </w:tc>
              <w:tc>
                <w:tcPr>
                  <w:tcW w:w="2966" w:type="dxa"/>
                </w:tcPr>
                <w:p w14:paraId="28B478A2"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PCI Level 2</w:t>
                  </w:r>
                </w:p>
              </w:tc>
            </w:tr>
            <w:tr w:rsidR="00170C6E" w14:paraId="15A37A82" w14:textId="77777777">
              <w:tc>
                <w:tcPr>
                  <w:tcW w:w="2925" w:type="dxa"/>
                </w:tcPr>
                <w:p w14:paraId="2FFF85E7" w14:textId="77777777" w:rsidR="00170C6E" w:rsidRDefault="00000000">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HIPAA</w:t>
                  </w:r>
                </w:p>
              </w:tc>
              <w:tc>
                <w:tcPr>
                  <w:tcW w:w="2966" w:type="dxa"/>
                </w:tcPr>
                <w:p w14:paraId="78C0C070"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FedRAMP Authorized</w:t>
                  </w:r>
                </w:p>
              </w:tc>
            </w:tr>
            <w:tr w:rsidR="00170C6E" w14:paraId="709AD0C0" w14:textId="77777777">
              <w:tc>
                <w:tcPr>
                  <w:tcW w:w="5891" w:type="dxa"/>
                  <w:gridSpan w:val="2"/>
                </w:tcPr>
                <w:p w14:paraId="3B9F7D68" w14:textId="77777777" w:rsidR="00170C6E" w:rsidRDefault="00000000">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{other_security_certification}</w:t>
                  </w:r>
                </w:p>
              </w:tc>
            </w:tr>
          </w:tbl>
          <w:p w14:paraId="7E474B02" w14:textId="77777777" w:rsidR="00170C6E" w:rsidRDefault="00170C6E">
            <w:pPr>
              <w:tabs>
                <w:tab w:val="left" w:pos="519"/>
              </w:tabs>
              <w:spacing w:line="276" w:lineRule="auto"/>
              <w:rPr>
                <w:rFonts w:ascii="Arial" w:eastAsia="Arial" w:hAnsi="Arial" w:cs="Arial"/>
                <w:color w:val="000000"/>
                <w:sz w:val="16"/>
                <w:szCs w:val="16"/>
                <w:highlight w:val="yellow"/>
              </w:rPr>
            </w:pPr>
          </w:p>
        </w:tc>
      </w:tr>
      <w:tr w:rsidR="00170C6E" w14:paraId="2E7E8D1F" w14:textId="77777777">
        <w:trPr>
          <w:gridAfter w:val="1"/>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2732A95D"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b/>
                <w:color w:val="8C8D8E"/>
                <w:sz w:val="18"/>
                <w:szCs w:val="18"/>
              </w:rPr>
              <w:t>Changes to the Agreement</w:t>
            </w:r>
          </w:p>
          <w:p w14:paraId="5D981586"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sz w:val="16"/>
                <w:szCs w:val="16"/>
              </w:rPr>
              <w:tab/>
            </w:r>
            <w:r>
              <w:rPr>
                <w:rFonts w:ascii="Arial" w:eastAsia="Arial" w:hAnsi="Arial" w:cs="Arial"/>
                <w:i/>
                <w:color w:val="000000"/>
                <w:sz w:val="16"/>
                <w:szCs w:val="16"/>
                <w:highlight w:val="lightGray"/>
              </w:rPr>
              <w:t>[ drafting note: If this DPA does not include a separate indemnity, liability cap, or governing law from the Agreement, delete this entire section. ]</w:t>
            </w:r>
          </w:p>
        </w:tc>
      </w:tr>
      <w:tr w:rsidR="00170C6E" w14:paraId="662660C6"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F8B720" w14:textId="77777777" w:rsidR="00170C6E" w:rsidRDefault="00000000">
            <w:pPr>
              <w:rPr>
                <w:rFonts w:ascii="Arial" w:eastAsia="Arial" w:hAnsi="Arial" w:cs="Arial"/>
                <w:b/>
                <w:sz w:val="18"/>
                <w:szCs w:val="18"/>
              </w:rPr>
            </w:pPr>
            <w:r>
              <w:rPr>
                <w:rFonts w:ascii="Arial" w:eastAsia="Arial" w:hAnsi="Arial" w:cs="Arial"/>
                <w:b/>
                <w:sz w:val="18"/>
                <w:szCs w:val="18"/>
              </w:rPr>
              <w:t>DPA Covered Claim</w:t>
            </w:r>
          </w:p>
        </w:tc>
        <w:tc>
          <w:tcPr>
            <w:tcW w:w="6660" w:type="dxa"/>
            <w:tcBorders>
              <w:top w:val="single" w:sz="4" w:space="0" w:color="C7C7C7"/>
              <w:left w:val="nil"/>
              <w:bottom w:val="single" w:sz="4" w:space="0" w:color="C7C7C7"/>
              <w:right w:val="nil"/>
            </w:tcBorders>
            <w:vAlign w:val="center"/>
          </w:tcPr>
          <w:p w14:paraId="2B9630CD"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to include this language and customize the yellow-bracketed language to add indemnity obligations specific to the DPA. If you do not want to provide a separate indemnity with this DPA, delete this row entirely. ]</w:t>
            </w:r>
          </w:p>
          <w:p w14:paraId="3BDAEAB6" w14:textId="77777777" w:rsidR="00170C6E" w:rsidRDefault="00170C6E">
            <w:pPr>
              <w:tabs>
                <w:tab w:val="left" w:pos="519"/>
              </w:tabs>
              <w:rPr>
                <w:rFonts w:ascii="Arial" w:eastAsia="Arial" w:hAnsi="Arial" w:cs="Arial"/>
                <w:sz w:val="16"/>
                <w:szCs w:val="16"/>
              </w:rPr>
            </w:pPr>
          </w:p>
          <w:p w14:paraId="586B1179" w14:textId="77777777" w:rsidR="00170C6E" w:rsidRDefault="00000000">
            <w:pPr>
              <w:tabs>
                <w:tab w:val="left" w:pos="520"/>
              </w:tabs>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i/>
                <w:sz w:val="16"/>
                <w:szCs w:val="16"/>
                <w:highlight w:val="lightGray"/>
              </w:rPr>
              <w:t>{csa_reference}</w:t>
            </w:r>
            <w:r>
              <w:rPr>
                <w:rFonts w:ascii="Arial" w:eastAsia="Arial" w:hAnsi="Arial" w:cs="Arial"/>
                <w:sz w:val="16"/>
                <w:szCs w:val="16"/>
              </w:rPr>
              <w:t xml:space="preserve"> </w:t>
            </w:r>
            <w:r>
              <w:rPr>
                <w:rFonts w:ascii="Arial" w:eastAsia="Arial" w:hAnsi="Arial" w:cs="Arial"/>
                <w:color w:val="000000"/>
                <w:sz w:val="16"/>
                <w:szCs w:val="16"/>
              </w:rPr>
              <w:t xml:space="preserve">The </w:t>
            </w:r>
            <w:r>
              <w:rPr>
                <w:rFonts w:ascii="Arial" w:eastAsia="Arial" w:hAnsi="Arial" w:cs="Arial"/>
                <w:b/>
                <w:color w:val="117086"/>
                <w:sz w:val="16"/>
                <w:szCs w:val="16"/>
              </w:rPr>
              <w:t>Agreement</w:t>
            </w:r>
            <w:r>
              <w:rPr>
                <w:rFonts w:ascii="Arial" w:eastAsia="Arial" w:hAnsi="Arial" w:cs="Arial"/>
                <w:color w:val="000000"/>
                <w:sz w:val="16"/>
                <w:szCs w:val="16"/>
              </w:rPr>
              <w:t xml:space="preserve"> includes an additional Provider Covered Claim for any action, proceeding, or claim arising out of or relating to </w:t>
            </w:r>
            <w:r>
              <w:rPr>
                <w:rFonts w:ascii="Arial" w:eastAsia="Arial" w:hAnsi="Arial" w:cs="Arial"/>
                <w:color w:val="000000"/>
                <w:sz w:val="16"/>
                <w:szCs w:val="16"/>
                <w:highlight w:val="yellow"/>
              </w:rPr>
              <w:t xml:space="preserve">[(1)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breach or alleged breach of the DPA, or (2)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gross negligence or willful misconduct, in each case, that results in a Security Incident.]</w:t>
            </w:r>
          </w:p>
          <w:p w14:paraId="1E8A2221" w14:textId="77777777" w:rsidR="00170C6E" w:rsidRDefault="00170C6E">
            <w:pPr>
              <w:tabs>
                <w:tab w:val="left" w:pos="520"/>
              </w:tabs>
              <w:rPr>
                <w:rFonts w:ascii="Arial" w:eastAsia="Arial" w:hAnsi="Arial" w:cs="Arial"/>
                <w:color w:val="000000"/>
                <w:sz w:val="16"/>
                <w:szCs w:val="16"/>
              </w:rPr>
            </w:pPr>
          </w:p>
          <w:p w14:paraId="344C174B" w14:textId="77777777" w:rsidR="00170C6E" w:rsidRDefault="00000000">
            <w:pPr>
              <w:tabs>
                <w:tab w:val="left" w:pos="520"/>
              </w:tabs>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i/>
                <w:sz w:val="16"/>
                <w:szCs w:val="16"/>
                <w:highlight w:val="lightGray"/>
              </w:rPr>
              <w:t xml:space="preserve">{non_csa_reference}</w:t>
            </w:r>
            <w:r>
              <w:rPr>
                <w:rFonts w:ascii="Arial" w:eastAsia="Arial" w:hAnsi="Arial" w:cs="Arial"/>
                <w:sz w:val="16"/>
                <w:szCs w:val="16"/>
              </w:rPr>
              <w:t xml:space="preserve"> Without limiting the indemnity obligations in the </w:t>
            </w:r>
            <w:r>
              <w:rPr>
                <w:rFonts w:ascii="Arial" w:eastAsia="Arial" w:hAnsi="Arial" w:cs="Arial"/>
                <w:b/>
                <w:color w:val="117086"/>
                <w:sz w:val="16"/>
                <w:szCs w:val="16"/>
              </w:rPr>
              <w:t>Agreement</w:t>
            </w:r>
            <w:r>
              <w:rPr>
                <w:rFonts w:ascii="Arial" w:eastAsia="Arial" w:hAnsi="Arial" w:cs="Arial"/>
                <w:sz w:val="16"/>
                <w:szCs w:val="16"/>
              </w:rPr>
              <w:t xml:space="preserve">, if any,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any action, proceeding, or claim made by someone other than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 xml:space="preserve">Customer’s </w:t>
            </w:r>
            <w:r>
              <w:rPr>
                <w:rFonts w:ascii="Arial" w:eastAsia="Arial" w:hAnsi="Arial" w:cs="Arial"/>
                <w:sz w:val="16"/>
                <w:szCs w:val="16"/>
              </w:rPr>
              <w:t xml:space="preserve">Affiliates, or Users, and all out-of-pocket damages, awards, settlements, costs, and expenses, including reasonable attorneys’ fees and other legal </w:t>
            </w:r>
            <w:r>
              <w:rPr>
                <w:rFonts w:ascii="Arial" w:eastAsia="Arial" w:hAnsi="Arial" w:cs="Arial"/>
                <w:sz w:val="16"/>
                <w:szCs w:val="16"/>
              </w:rPr>
              <w:lastRenderedPageBreak/>
              <w:t xml:space="preserve">expenses, that arise from </w:t>
            </w:r>
            <w:r>
              <w:rPr>
                <w:rFonts w:ascii="Arial" w:eastAsia="Arial" w:hAnsi="Arial" w:cs="Arial"/>
                <w:color w:val="000000"/>
                <w:sz w:val="16"/>
                <w:szCs w:val="16"/>
                <w:highlight w:val="yellow"/>
              </w:rPr>
              <w:t xml:space="preserve">[(1)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breach or alleged breach of the DPA, or (2) </w:t>
            </w:r>
            <w:r>
              <w:rPr>
                <w:rFonts w:ascii="Arial" w:eastAsia="Arial" w:hAnsi="Arial" w:cs="Arial"/>
                <w:b/>
                <w:color w:val="117086"/>
                <w:sz w:val="16"/>
                <w:szCs w:val="16"/>
                <w:highlight w:val="yellow"/>
              </w:rPr>
              <w:t>Provider’s</w:t>
            </w:r>
            <w:r>
              <w:rPr>
                <w:rFonts w:ascii="Arial" w:eastAsia="Arial" w:hAnsi="Arial" w:cs="Arial"/>
                <w:color w:val="000000"/>
                <w:sz w:val="16"/>
                <w:szCs w:val="16"/>
                <w:highlight w:val="yellow"/>
              </w:rPr>
              <w:t xml:space="preserve"> gross negligence or willful misconduct, in each case, that results in a Security Incident.]</w:t>
            </w:r>
          </w:p>
        </w:tc>
      </w:tr>
      <w:tr w:rsidR="00170C6E" w14:paraId="33C4B1E0"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5B8589"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DPA Liability Cap</w:t>
            </w:r>
          </w:p>
        </w:tc>
        <w:tc>
          <w:tcPr>
            <w:tcW w:w="6660" w:type="dxa"/>
            <w:tcBorders>
              <w:top w:val="single" w:sz="4" w:space="0" w:color="C7C7C7"/>
              <w:left w:val="nil"/>
              <w:bottom w:val="single" w:sz="4" w:space="0" w:color="C7C7C7"/>
              <w:right w:val="nil"/>
            </w:tcBorders>
            <w:vAlign w:val="center"/>
          </w:tcPr>
          <w:p w14:paraId="771ED167"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to include this language and customize the yellow-bracketed amounts to add a separate super cap specific to DPA Covered Claims. If you do not want to provide a separate liability cap for DPA Covered Claims, delete this row entirely. ]</w:t>
            </w:r>
          </w:p>
          <w:p w14:paraId="74544730" w14:textId="77777777" w:rsidR="00170C6E" w:rsidRDefault="00170C6E">
            <w:pPr>
              <w:tabs>
                <w:tab w:val="left" w:pos="519"/>
              </w:tabs>
              <w:rPr>
                <w:rFonts w:ascii="Arial" w:eastAsia="Arial" w:hAnsi="Arial" w:cs="Arial"/>
                <w:sz w:val="16"/>
                <w:szCs w:val="16"/>
              </w:rPr>
            </w:pPr>
          </w:p>
          <w:p w14:paraId="603BF67E" w14:textId="77777777" w:rsidR="00170C6E" w:rsidRDefault="00000000">
            <w:pPr>
              <w:tabs>
                <w:tab w:val="left" w:pos="520"/>
              </w:tabs>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i/>
                <w:sz w:val="16"/>
                <w:szCs w:val="16"/>
                <w:highlight w:val="lightGray"/>
              </w:rPr>
              <w:t>{csa_reference}</w:t>
            </w:r>
            <w:r>
              <w:rPr>
                <w:rFonts w:ascii="Arial" w:eastAsia="Arial" w:hAnsi="Arial" w:cs="Arial"/>
                <w:sz w:val="16"/>
                <w:szCs w:val="16"/>
              </w:rPr>
              <w:t xml:space="preserve"> </w:t>
            </w:r>
            <w:r>
              <w:rPr>
                <w:rFonts w:ascii="Arial" w:eastAsia="Arial" w:hAnsi="Arial" w:cs="Arial"/>
                <w:b/>
                <w:color w:val="000000"/>
                <w:sz w:val="16"/>
                <w:szCs w:val="16"/>
              </w:rPr>
              <w:t xml:space="preserve">The </w:t>
            </w:r>
            <w:r>
              <w:rPr>
                <w:rFonts w:ascii="Arial" w:eastAsia="Arial" w:hAnsi="Arial" w:cs="Arial"/>
                <w:b/>
                <w:color w:val="117086"/>
                <w:sz w:val="16"/>
                <w:szCs w:val="16"/>
              </w:rPr>
              <w:t>Agreement</w:t>
            </w:r>
            <w:r>
              <w:rPr>
                <w:rFonts w:ascii="Arial" w:eastAsia="Arial" w:hAnsi="Arial" w:cs="Arial"/>
                <w:b/>
                <w:color w:val="000000"/>
                <w:sz w:val="16"/>
                <w:szCs w:val="16"/>
              </w:rPr>
              <w:t xml:space="preserve"> includes an additional </w:t>
            </w:r>
            <w:r>
              <w:rPr>
                <w:rFonts w:ascii="Arial" w:eastAsia="Arial" w:hAnsi="Arial" w:cs="Arial"/>
                <w:b/>
                <w:color w:val="117086"/>
                <w:sz w:val="16"/>
                <w:szCs w:val="16"/>
              </w:rPr>
              <w:t>Increased</w:t>
            </w:r>
            <w:r>
              <w:rPr>
                <w:rFonts w:ascii="Arial" w:eastAsia="Arial" w:hAnsi="Arial" w:cs="Arial"/>
                <w:b/>
                <w:color w:val="000000"/>
                <w:sz w:val="16"/>
                <w:szCs w:val="16"/>
              </w:rPr>
              <w:t xml:space="preserve"> </w:t>
            </w:r>
            <w:r>
              <w:rPr>
                <w:rFonts w:ascii="Arial" w:eastAsia="Arial" w:hAnsi="Arial" w:cs="Arial"/>
                <w:b/>
                <w:color w:val="117086"/>
                <w:sz w:val="16"/>
                <w:szCs w:val="16"/>
              </w:rPr>
              <w:t>Claim</w:t>
            </w:r>
            <w:r>
              <w:rPr>
                <w:rFonts w:ascii="Arial" w:eastAsia="Arial" w:hAnsi="Arial" w:cs="Arial"/>
                <w:b/>
                <w:color w:val="000000"/>
                <w:sz w:val="16"/>
                <w:szCs w:val="16"/>
              </w:rPr>
              <w:t xml:space="preserve"> for </w:t>
            </w:r>
            <w:r>
              <w:rPr>
                <w:rFonts w:ascii="Arial" w:eastAsia="Arial" w:hAnsi="Arial" w:cs="Arial"/>
                <w:b/>
                <w:color w:val="117086"/>
                <w:sz w:val="16"/>
                <w:szCs w:val="16"/>
              </w:rPr>
              <w:t>DPA Covered Claims</w:t>
            </w:r>
            <w:r>
              <w:rPr>
                <w:rFonts w:ascii="Arial" w:eastAsia="Arial" w:hAnsi="Arial" w:cs="Arial"/>
                <w:b/>
                <w:color w:val="000000"/>
                <w:sz w:val="16"/>
                <w:szCs w:val="16"/>
              </w:rPr>
              <w:t xml:space="preserve">, with a separate </w:t>
            </w:r>
            <w:r>
              <w:rPr>
                <w:rFonts w:ascii="Arial" w:eastAsia="Arial" w:hAnsi="Arial" w:cs="Arial"/>
                <w:b/>
                <w:color w:val="117086"/>
                <w:sz w:val="16"/>
                <w:szCs w:val="16"/>
              </w:rPr>
              <w:t>Increased</w:t>
            </w:r>
            <w:r>
              <w:rPr>
                <w:rFonts w:ascii="Arial" w:eastAsia="Arial" w:hAnsi="Arial" w:cs="Arial"/>
                <w:b/>
                <w:color w:val="000000"/>
                <w:sz w:val="16"/>
                <w:szCs w:val="16"/>
              </w:rPr>
              <w:t xml:space="preserve"> </w:t>
            </w:r>
            <w:r>
              <w:rPr>
                <w:rFonts w:ascii="Arial" w:eastAsia="Arial" w:hAnsi="Arial" w:cs="Arial"/>
                <w:b/>
                <w:color w:val="117086"/>
                <w:sz w:val="16"/>
                <w:szCs w:val="16"/>
              </w:rPr>
              <w:t>Cap</w:t>
            </w:r>
            <w:r>
              <w:rPr>
                <w:rFonts w:ascii="Arial" w:eastAsia="Arial" w:hAnsi="Arial" w:cs="Arial"/>
                <w:b/>
                <w:color w:val="000000"/>
                <w:sz w:val="16"/>
                <w:szCs w:val="16"/>
              </w:rPr>
              <w:t xml:space="preserve"> </w:t>
            </w:r>
            <w:r>
              <w:rPr>
                <w:rFonts w:ascii="Arial" w:eastAsia="Arial" w:hAnsi="Arial" w:cs="Arial"/>
                <w:b/>
                <w:color w:val="117086"/>
                <w:sz w:val="16"/>
                <w:szCs w:val="16"/>
              </w:rPr>
              <w:t>Amount</w:t>
            </w:r>
            <w:r>
              <w:rPr>
                <w:rFonts w:ascii="Arial" w:eastAsia="Arial" w:hAnsi="Arial" w:cs="Arial"/>
                <w:b/>
                <w:color w:val="000000"/>
                <w:sz w:val="16"/>
                <w:szCs w:val="16"/>
              </w:rPr>
              <w:t xml:space="preserve"> of the greater of $</w:t>
            </w:r>
            <w:r>
              <w:rPr>
                <w:rFonts w:ascii="Arial" w:eastAsia="Arial" w:hAnsi="Arial" w:cs="Arial"/>
                <w:b/>
                <w:color w:val="000000"/>
                <w:sz w:val="16"/>
                <w:szCs w:val="16"/>
                <w:highlight w:val="yellow"/>
              </w:rPr>
              <w:t>[_________]</w:t>
            </w:r>
            <w:r>
              <w:rPr>
                <w:rFonts w:ascii="Arial" w:eastAsia="Arial" w:hAnsi="Arial" w:cs="Arial"/>
                <w:b/>
                <w:color w:val="000000"/>
                <w:sz w:val="16"/>
                <w:szCs w:val="16"/>
              </w:rPr>
              <w:t xml:space="preserve"> or </w:t>
            </w:r>
            <w:r>
              <w:rPr>
                <w:rFonts w:ascii="Arial" w:eastAsia="Arial" w:hAnsi="Arial" w:cs="Arial"/>
                <w:b/>
                <w:color w:val="000000"/>
                <w:sz w:val="16"/>
                <w:szCs w:val="16"/>
                <w:highlight w:val="yellow"/>
              </w:rPr>
              <w:t>{cap_multiplier} times</w:t>
            </w:r>
            <w:r>
              <w:rPr>
                <w:rFonts w:ascii="Arial" w:eastAsia="Arial" w:hAnsi="Arial" w:cs="Arial"/>
                <w:b/>
                <w:color w:val="000000"/>
                <w:sz w:val="16"/>
                <w:szCs w:val="16"/>
              </w:rPr>
              <w:t xml:space="preserve"> the fees paid or payable by </w:t>
            </w:r>
            <w:r>
              <w:rPr>
                <w:rFonts w:ascii="Arial" w:eastAsia="Arial" w:hAnsi="Arial" w:cs="Arial"/>
                <w:b/>
                <w:color w:val="117086"/>
                <w:sz w:val="16"/>
                <w:szCs w:val="16"/>
              </w:rPr>
              <w:t>Customer</w:t>
            </w:r>
            <w:r>
              <w:rPr>
                <w:rFonts w:ascii="Arial" w:eastAsia="Arial" w:hAnsi="Arial" w:cs="Arial"/>
                <w:b/>
                <w:color w:val="000000"/>
                <w:sz w:val="16"/>
                <w:szCs w:val="16"/>
              </w:rPr>
              <w:t xml:space="preserve"> to </w:t>
            </w:r>
            <w:r>
              <w:rPr>
                <w:rFonts w:ascii="Arial" w:eastAsia="Arial" w:hAnsi="Arial" w:cs="Arial"/>
                <w:b/>
                <w:color w:val="117086"/>
                <w:sz w:val="16"/>
                <w:szCs w:val="16"/>
              </w:rPr>
              <w:t>Provider</w:t>
            </w:r>
            <w:r>
              <w:rPr>
                <w:rFonts w:ascii="Arial" w:eastAsia="Arial" w:hAnsi="Arial" w:cs="Arial"/>
                <w:b/>
                <w:color w:val="000000"/>
                <w:sz w:val="16"/>
                <w:szCs w:val="16"/>
              </w:rPr>
              <w:t xml:space="preserve"> in the 12 month period immediately before the claim.</w:t>
            </w:r>
          </w:p>
          <w:p w14:paraId="776C3BED" w14:textId="77777777" w:rsidR="00170C6E" w:rsidRDefault="00170C6E">
            <w:pPr>
              <w:tabs>
                <w:tab w:val="left" w:pos="520"/>
              </w:tabs>
              <w:rPr>
                <w:rFonts w:ascii="Arial" w:eastAsia="Arial" w:hAnsi="Arial" w:cs="Arial"/>
                <w:color w:val="000000"/>
                <w:sz w:val="16"/>
                <w:szCs w:val="16"/>
              </w:rPr>
            </w:pPr>
          </w:p>
          <w:p w14:paraId="0E43F27B" w14:textId="77777777" w:rsidR="00170C6E" w:rsidRDefault="00000000">
            <w:pPr>
              <w:tabs>
                <w:tab w:val="left" w:pos="520"/>
              </w:tabs>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i/>
                <w:sz w:val="16"/>
                <w:szCs w:val="16"/>
                <w:highlight w:val="lightGray"/>
              </w:rPr>
              <w:t xml:space="preserve">{non_csa_reference}</w:t>
            </w:r>
            <w:r>
              <w:rPr>
                <w:rFonts w:ascii="Arial" w:eastAsia="Arial" w:hAnsi="Arial" w:cs="Arial"/>
                <w:sz w:val="16"/>
                <w:szCs w:val="16"/>
              </w:rPr>
              <w:t xml:space="preserve"> The following is added to the end of Section 8.1 of the DPA Standard Terms:</w:t>
            </w:r>
          </w:p>
          <w:p w14:paraId="5FBA0411" w14:textId="77777777" w:rsidR="00170C6E" w:rsidRDefault="00170C6E">
            <w:pPr>
              <w:tabs>
                <w:tab w:val="left" w:pos="520"/>
              </w:tabs>
              <w:rPr>
                <w:rFonts w:ascii="Arial" w:eastAsia="Arial" w:hAnsi="Arial" w:cs="Arial"/>
                <w:sz w:val="16"/>
                <w:szCs w:val="16"/>
              </w:rPr>
            </w:pPr>
          </w:p>
          <w:p w14:paraId="7E3AE088" w14:textId="77777777" w:rsidR="00170C6E" w:rsidRDefault="00000000">
            <w:pPr>
              <w:tabs>
                <w:tab w:val="left" w:pos="520"/>
              </w:tabs>
              <w:rPr>
                <w:rFonts w:ascii="Arial" w:eastAsia="Arial" w:hAnsi="Arial" w:cs="Arial"/>
                <w:b/>
                <w:sz w:val="16"/>
                <w:szCs w:val="16"/>
              </w:rPr>
            </w:pPr>
            <w:r>
              <w:rPr>
                <w:rFonts w:ascii="Arial" w:eastAsia="Arial" w:hAnsi="Arial" w:cs="Arial"/>
                <w:b/>
                <w:color w:val="000000"/>
                <w:sz w:val="16"/>
                <w:szCs w:val="16"/>
              </w:rPr>
              <w:t>However,</w:t>
            </w:r>
            <w:r>
              <w:rPr>
                <w:rFonts w:ascii="Arial" w:eastAsia="Arial" w:hAnsi="Arial" w:cs="Arial"/>
                <w:color w:val="000000"/>
                <w:sz w:val="16"/>
                <w:szCs w:val="16"/>
              </w:rPr>
              <w:t xml:space="preserve"> </w:t>
            </w:r>
            <w:r>
              <w:rPr>
                <w:rFonts w:ascii="Arial" w:eastAsia="Arial" w:hAnsi="Arial" w:cs="Arial"/>
                <w:b/>
                <w:color w:val="117086"/>
                <w:sz w:val="16"/>
                <w:szCs w:val="16"/>
              </w:rPr>
              <w:t>Provider’s</w:t>
            </w:r>
            <w:r>
              <w:rPr>
                <w:rFonts w:ascii="Arial" w:eastAsia="Arial" w:hAnsi="Arial" w:cs="Arial"/>
                <w:b/>
                <w:sz w:val="16"/>
                <w:szCs w:val="16"/>
              </w:rPr>
              <w:t xml:space="preserve"> total cumulative liability arising out of or related to </w:t>
            </w:r>
            <w:r>
              <w:rPr>
                <w:rFonts w:ascii="Arial" w:eastAsia="Arial" w:hAnsi="Arial" w:cs="Arial"/>
                <w:b/>
                <w:color w:val="117086"/>
                <w:sz w:val="16"/>
                <w:szCs w:val="16"/>
              </w:rPr>
              <w:t>DPA Covered Claims</w:t>
            </w:r>
            <w:r>
              <w:rPr>
                <w:rFonts w:ascii="Arial" w:eastAsia="Arial" w:hAnsi="Arial" w:cs="Arial"/>
                <w:b/>
                <w:sz w:val="16"/>
                <w:szCs w:val="16"/>
              </w:rPr>
              <w:t xml:space="preserve"> will not be more than the greater of </w:t>
            </w:r>
            <w:r>
              <w:rPr>
                <w:rFonts w:ascii="Arial" w:eastAsia="Arial" w:hAnsi="Arial" w:cs="Arial"/>
                <w:b/>
                <w:color w:val="000000"/>
                <w:sz w:val="16"/>
                <w:szCs w:val="16"/>
              </w:rPr>
              <w:t>$</w:t>
            </w:r>
            <w:r>
              <w:rPr>
                <w:rFonts w:ascii="Arial" w:eastAsia="Arial" w:hAnsi="Arial" w:cs="Arial"/>
                <w:b/>
                <w:color w:val="000000"/>
                <w:sz w:val="16"/>
                <w:szCs w:val="16"/>
                <w:highlight w:val="yellow"/>
              </w:rPr>
              <w:t>[_________]</w:t>
            </w:r>
            <w:r>
              <w:rPr>
                <w:rFonts w:ascii="Arial" w:eastAsia="Arial" w:hAnsi="Arial" w:cs="Arial"/>
                <w:b/>
                <w:color w:val="000000"/>
                <w:sz w:val="16"/>
                <w:szCs w:val="16"/>
              </w:rPr>
              <w:t xml:space="preserve"> or </w:t>
            </w:r>
            <w:r>
              <w:rPr>
                <w:rFonts w:ascii="Arial" w:eastAsia="Arial" w:hAnsi="Arial" w:cs="Arial"/>
                <w:b/>
                <w:color w:val="000000"/>
                <w:sz w:val="16"/>
                <w:szCs w:val="16"/>
                <w:highlight w:val="yellow"/>
              </w:rPr>
              <w:t>{cap_multiplier} times</w:t>
            </w:r>
            <w:r>
              <w:rPr>
                <w:rFonts w:ascii="Arial" w:eastAsia="Arial" w:hAnsi="Arial" w:cs="Arial"/>
                <w:b/>
                <w:color w:val="000000"/>
                <w:sz w:val="16"/>
                <w:szCs w:val="16"/>
              </w:rPr>
              <w:t xml:space="preserve"> the fees paid or payable by </w:t>
            </w:r>
            <w:r>
              <w:rPr>
                <w:rFonts w:ascii="Arial" w:eastAsia="Arial" w:hAnsi="Arial" w:cs="Arial"/>
                <w:b/>
                <w:color w:val="117086"/>
                <w:sz w:val="16"/>
                <w:szCs w:val="16"/>
              </w:rPr>
              <w:t>Customer</w:t>
            </w:r>
            <w:r>
              <w:rPr>
                <w:rFonts w:ascii="Arial" w:eastAsia="Arial" w:hAnsi="Arial" w:cs="Arial"/>
                <w:b/>
                <w:color w:val="000000"/>
                <w:sz w:val="16"/>
                <w:szCs w:val="16"/>
              </w:rPr>
              <w:t xml:space="preserve"> to </w:t>
            </w:r>
            <w:r>
              <w:rPr>
                <w:rFonts w:ascii="Arial" w:eastAsia="Arial" w:hAnsi="Arial" w:cs="Arial"/>
                <w:b/>
                <w:color w:val="117086"/>
                <w:sz w:val="16"/>
                <w:szCs w:val="16"/>
              </w:rPr>
              <w:t>Provider</w:t>
            </w:r>
            <w:r>
              <w:rPr>
                <w:rFonts w:ascii="Arial" w:eastAsia="Arial" w:hAnsi="Arial" w:cs="Arial"/>
                <w:b/>
                <w:color w:val="000000"/>
                <w:sz w:val="16"/>
                <w:szCs w:val="16"/>
              </w:rPr>
              <w:t xml:space="preserve"> in the 12 month period immediately before the claim.</w:t>
            </w:r>
          </w:p>
        </w:tc>
      </w:tr>
      <w:tr w:rsidR="00170C6E" w14:paraId="030C1982"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BE8AA94" w14:textId="77777777" w:rsidR="00170C6E" w:rsidRDefault="00000000">
            <w:pPr>
              <w:rPr>
                <w:rFonts w:ascii="Arial" w:eastAsia="Arial" w:hAnsi="Arial" w:cs="Arial"/>
                <w:b/>
                <w:sz w:val="18"/>
                <w:szCs w:val="18"/>
              </w:rPr>
            </w:pPr>
            <w:r>
              <w:rPr>
                <w:rFonts w:ascii="Arial" w:eastAsia="Arial" w:hAnsi="Arial" w:cs="Arial"/>
                <w:b/>
                <w:sz w:val="18"/>
                <w:szCs w:val="18"/>
              </w:rPr>
              <w:t>Governing Law and Chosen Courts</w:t>
            </w:r>
          </w:p>
        </w:tc>
        <w:tc>
          <w:tcPr>
            <w:tcW w:w="6660" w:type="dxa"/>
            <w:tcBorders>
              <w:top w:val="single" w:sz="4" w:space="0" w:color="C7C7C7"/>
              <w:left w:val="nil"/>
              <w:bottom w:val="single" w:sz="4" w:space="0" w:color="C7C7C7"/>
              <w:right w:val="nil"/>
            </w:tcBorders>
            <w:vAlign w:val="center"/>
          </w:tcPr>
          <w:p w14:paraId="47E4BF31"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 include this language to modify the governing law and jurisdiction for this DPA (governing law for SCCs are handled in the Restricted Transfer section). If you do not want to modify the governing law and jurisdiction from the Agreement, delete this row entirely. ]</w:t>
            </w:r>
          </w:p>
          <w:p w14:paraId="2D8782F5" w14:textId="77777777" w:rsidR="00170C6E" w:rsidRDefault="00170C6E">
            <w:pPr>
              <w:rPr>
                <w:rFonts w:ascii="Arial" w:eastAsia="Arial" w:hAnsi="Arial" w:cs="Arial"/>
                <w:sz w:val="16"/>
                <w:szCs w:val="16"/>
              </w:rPr>
            </w:pPr>
          </w:p>
          <w:p w14:paraId="42B7C7C5" w14:textId="77777777" w:rsidR="00170C6E" w:rsidRDefault="00000000">
            <w:pPr>
              <w:tabs>
                <w:tab w:val="left" w:pos="520"/>
              </w:tabs>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t xml:space="preserve">Notwithstanding the governing law or similar clauses of the </w:t>
            </w:r>
            <w:r>
              <w:rPr>
                <w:rFonts w:ascii="Arial" w:eastAsia="Arial" w:hAnsi="Arial" w:cs="Arial"/>
                <w:b/>
                <w:color w:val="117086"/>
                <w:sz w:val="16"/>
                <w:szCs w:val="16"/>
              </w:rPr>
              <w:t>Agreement</w:t>
            </w:r>
            <w:r>
              <w:rPr>
                <w:rFonts w:ascii="Arial" w:eastAsia="Arial" w:hAnsi="Arial" w:cs="Arial"/>
                <w:sz w:val="16"/>
                <w:szCs w:val="16"/>
              </w:rPr>
              <w:t xml:space="preserve">, all interpretations and disputes about this DPA will be governed by the laws of the </w:t>
            </w:r>
            <w:r>
              <w:rPr>
                <w:rFonts w:ascii="Arial" w:eastAsia="Arial" w:hAnsi="Arial" w:cs="Arial"/>
                <w:b/>
                <w:color w:val="117086"/>
                <w:sz w:val="16"/>
                <w:szCs w:val="16"/>
              </w:rPr>
              <w:t>Governing</w:t>
            </w:r>
            <w:r>
              <w:rPr>
                <w:rFonts w:ascii="Arial" w:eastAsia="Arial" w:hAnsi="Arial" w:cs="Arial"/>
                <w:b/>
                <w:sz w:val="16"/>
                <w:szCs w:val="16"/>
              </w:rPr>
              <w:t xml:space="preserve"> </w:t>
            </w:r>
            <w:r>
              <w:rPr>
                <w:rFonts w:ascii="Arial" w:eastAsia="Arial" w:hAnsi="Arial" w:cs="Arial"/>
                <w:b/>
                <w:color w:val="117086"/>
                <w:sz w:val="16"/>
                <w:szCs w:val="16"/>
              </w:rPr>
              <w:t>State</w:t>
            </w:r>
            <w:r>
              <w:rPr>
                <w:rFonts w:ascii="Arial" w:eastAsia="Arial" w:hAnsi="Arial" w:cs="Arial"/>
                <w:sz w:val="16"/>
                <w:szCs w:val="16"/>
              </w:rPr>
              <w:t xml:space="preserve"> without regard to its conflict of laws provisions. In addition, and notwithstanding the forum selection, jurisdiction, or similar clauses of the Agreement, the parties agree to bring any legal suit, action, or proceeding about this DPA in, and each party irrevocably submits to the exclusive jurisdiction of, the courts of the </w:t>
            </w:r>
            <w:r>
              <w:rPr>
                <w:rFonts w:ascii="Arial" w:eastAsia="Arial" w:hAnsi="Arial" w:cs="Arial"/>
                <w:b/>
                <w:color w:val="117086"/>
                <w:sz w:val="16"/>
                <w:szCs w:val="16"/>
              </w:rPr>
              <w:t>Governing</w:t>
            </w:r>
            <w:r>
              <w:rPr>
                <w:rFonts w:ascii="Arial" w:eastAsia="Arial" w:hAnsi="Arial" w:cs="Arial"/>
                <w:b/>
                <w:sz w:val="16"/>
                <w:szCs w:val="16"/>
              </w:rPr>
              <w:t xml:space="preserve"> </w:t>
            </w:r>
            <w:r>
              <w:rPr>
                <w:rFonts w:ascii="Arial" w:eastAsia="Arial" w:hAnsi="Arial" w:cs="Arial"/>
                <w:b/>
                <w:color w:val="117086"/>
                <w:sz w:val="16"/>
                <w:szCs w:val="16"/>
              </w:rPr>
              <w:t>State</w:t>
            </w:r>
            <w:r>
              <w:rPr>
                <w:rFonts w:ascii="Arial" w:eastAsia="Arial" w:hAnsi="Arial" w:cs="Arial"/>
                <w:sz w:val="16"/>
                <w:szCs w:val="16"/>
              </w:rPr>
              <w:t>.</w:t>
            </w:r>
          </w:p>
          <w:p w14:paraId="1F77B772" w14:textId="77777777" w:rsidR="00170C6E" w:rsidRDefault="00170C6E">
            <w:pPr>
              <w:rPr>
                <w:rFonts w:ascii="Arial" w:eastAsia="Arial" w:hAnsi="Arial" w:cs="Arial"/>
                <w:sz w:val="16"/>
                <w:szCs w:val="16"/>
                <w:highlight w:val="yellow"/>
              </w:rPr>
            </w:pPr>
          </w:p>
          <w:p w14:paraId="4EC552F3" w14:textId="77777777" w:rsidR="00170C6E" w:rsidRDefault="00000000">
            <w:pPr>
              <w:ind w:left="520"/>
              <w:rPr>
                <w:rFonts w:ascii="Arial" w:eastAsia="Arial" w:hAnsi="Arial" w:cs="Arial"/>
                <w:sz w:val="18"/>
                <w:szCs w:val="18"/>
              </w:rPr>
            </w:pPr>
            <w:r>
              <w:rPr>
                <w:rFonts w:ascii="Arial" w:eastAsia="Arial" w:hAnsi="Arial" w:cs="Arial"/>
                <w:b/>
                <w:sz w:val="16"/>
                <w:szCs w:val="16"/>
              </w:rPr>
              <w:t>Governing State</w:t>
            </w:r>
            <w:r>
              <w:rPr>
                <w:rFonts w:ascii="Arial" w:eastAsia="Arial" w:hAnsi="Arial" w:cs="Arial"/>
                <w:sz w:val="16"/>
                <w:szCs w:val="16"/>
              </w:rPr>
              <w:t xml:space="preserve"> means: </w:t>
            </w:r>
            <w:r>
              <w:rPr>
                <w:rFonts w:ascii="Arial" w:eastAsia="Arial" w:hAnsi="Arial" w:cs="Arial"/>
                <w:sz w:val="16"/>
                <w:szCs w:val="16"/>
                <w:highlight w:val="yellow"/>
              </w:rPr>
              <w:t>{governing_law}</w:t>
            </w:r>
          </w:p>
        </w:tc>
      </w:tr>
      <w:tr w:rsidR="00170C6E" w14:paraId="748AD465"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23B52EB" w14:textId="77777777" w:rsidR="00170C6E" w:rsidRDefault="00000000">
            <w:pPr>
              <w:rPr>
                <w:rFonts w:ascii="Arial" w:eastAsia="Arial" w:hAnsi="Arial" w:cs="Arial"/>
                <w:b/>
                <w:sz w:val="18"/>
                <w:szCs w:val="18"/>
              </w:rPr>
            </w:pPr>
            <w:r>
              <w:rPr>
                <w:rFonts w:ascii="Arial" w:eastAsia="Arial" w:hAnsi="Arial" w:cs="Arial"/>
                <w:b/>
                <w:sz w:val="18"/>
                <w:szCs w:val="18"/>
              </w:rPr>
              <w:t>Service Provider Relationship</w:t>
            </w:r>
          </w:p>
        </w:tc>
        <w:tc>
          <w:tcPr>
            <w:tcW w:w="6660" w:type="dxa"/>
            <w:tcBorders>
              <w:top w:val="single" w:sz="4" w:space="0" w:color="C7C7C7"/>
              <w:left w:val="nil"/>
              <w:bottom w:val="single" w:sz="4" w:space="0" w:color="C7C7C7"/>
              <w:right w:val="nil"/>
            </w:tcBorders>
            <w:vAlign w:val="center"/>
          </w:tcPr>
          <w:p w14:paraId="38E8A7D0"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the box / include this language to affirm a service provider relationship and that no sale of personal information (e.g., as regulated by CCPA) will occur. ]</w:t>
            </w:r>
          </w:p>
          <w:p w14:paraId="507AA801" w14:textId="77777777" w:rsidR="00170C6E" w:rsidRDefault="00170C6E">
            <w:pPr>
              <w:tabs>
                <w:tab w:val="left" w:pos="519"/>
              </w:tabs>
              <w:spacing w:line="276" w:lineRule="auto"/>
              <w:rPr>
                <w:rFonts w:ascii="Arial" w:eastAsia="Arial" w:hAnsi="Arial" w:cs="Arial"/>
                <w:sz w:val="16"/>
                <w:szCs w:val="16"/>
              </w:rPr>
            </w:pPr>
          </w:p>
          <w:p w14:paraId="0C8C1192" w14:textId="2AD091A8" w:rsidR="00170C6E" w:rsidRDefault="00000000">
            <w:pPr>
              <w:tabs>
                <w:tab w:val="left" w:pos="519"/>
              </w:tabs>
              <w:spacing w:line="276" w:lineRule="auto"/>
              <w:rPr>
                <w:rFonts w:ascii="Arial" w:eastAsia="Arial" w:hAnsi="Arial" w:cs="Arial"/>
                <w:sz w:val="16"/>
                <w:szCs w:val="16"/>
                <w:highlight w:val="lightGray"/>
              </w:rPr>
            </w:pPr>
            <w:r>
              <w:rPr>
                <w:rFonts w:ascii="Arial" w:eastAsia="Arial" w:hAnsi="Arial" w:cs="Arial"/>
                <w:sz w:val="16"/>
                <w:szCs w:val="16"/>
              </w:rPr>
              <w:t>[    ]</w:t>
            </w:r>
            <w:r>
              <w:rPr>
                <w:rFonts w:ascii="Arial" w:eastAsia="Arial" w:hAnsi="Arial" w:cs="Arial"/>
                <w:sz w:val="16"/>
                <w:szCs w:val="16"/>
              </w:rPr>
              <w:tab/>
            </w:r>
            <w:r w:rsidR="00EC6F23">
              <w:rPr>
                <w:rFonts w:ascii="Arial" w:eastAsia="Arial" w:hAnsi="Arial" w:cs="Arial"/>
                <w:sz w:val="16"/>
                <w:szCs w:val="16"/>
              </w:rPr>
              <w:t>To the extent California Consumer Privacy Act, Cal. Civ. Code § 1798.100 et seq (“</w:t>
            </w:r>
            <w:r w:rsidR="00EC6F23">
              <w:rPr>
                <w:rFonts w:ascii="Arial" w:eastAsia="Arial" w:hAnsi="Arial" w:cs="Arial"/>
                <w:b/>
                <w:sz w:val="16"/>
                <w:szCs w:val="16"/>
              </w:rPr>
              <w:t>CCPA</w:t>
            </w:r>
            <w:r w:rsidR="00EC6F23">
              <w:rPr>
                <w:rFonts w:ascii="Arial" w:eastAsia="Arial" w:hAnsi="Arial" w:cs="Arial"/>
                <w:sz w:val="16"/>
                <w:szCs w:val="16"/>
              </w:rPr>
              <w:t xml:space="preserve">”) applies, the parties acknowledge and agree that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is a service provider and is receiving Personal Data from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to provide the Service as agreed in the </w:t>
            </w:r>
            <w:r w:rsidR="00EC6F23">
              <w:rPr>
                <w:rFonts w:ascii="Arial" w:eastAsia="Arial" w:hAnsi="Arial" w:cs="Arial"/>
                <w:b/>
                <w:color w:val="107087"/>
                <w:sz w:val="16"/>
                <w:szCs w:val="16"/>
              </w:rPr>
              <w:t xml:space="preserve">Agreement </w:t>
            </w:r>
            <w:r w:rsidR="00EC6F23" w:rsidRPr="00330D51">
              <w:rPr>
                <w:rFonts w:ascii="Arial" w:eastAsia="Arial" w:hAnsi="Arial" w:cs="Arial"/>
                <w:sz w:val="16"/>
                <w:szCs w:val="16"/>
              </w:rPr>
              <w:t>and detailed below (see Nature and Purpose of Processing)</w:t>
            </w:r>
            <w:r w:rsidR="00EC6F23">
              <w:rPr>
                <w:rFonts w:ascii="Arial" w:eastAsia="Arial" w:hAnsi="Arial" w:cs="Arial"/>
                <w:sz w:val="16"/>
                <w:szCs w:val="16"/>
              </w:rPr>
              <w:t xml:space="preserve">, which constitutes a limited and specified business purpose.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will not sell or share any Personal Data provided by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under the </w:t>
            </w:r>
            <w:r w:rsidR="00EC6F23">
              <w:rPr>
                <w:rFonts w:ascii="Arial" w:eastAsia="Arial" w:hAnsi="Arial" w:cs="Arial"/>
                <w:b/>
                <w:color w:val="107087"/>
                <w:sz w:val="16"/>
                <w:szCs w:val="16"/>
              </w:rPr>
              <w:t>Agreement</w:t>
            </w:r>
            <w:r w:rsidR="00EC6F23">
              <w:rPr>
                <w:rFonts w:ascii="Arial" w:eastAsia="Arial" w:hAnsi="Arial" w:cs="Arial"/>
                <w:sz w:val="16"/>
                <w:szCs w:val="16"/>
              </w:rPr>
              <w:t xml:space="preserve">. In addition,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will not retain, use, or disclose any Personal Data provided by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under the </w:t>
            </w:r>
            <w:r w:rsidR="00EC6F23">
              <w:rPr>
                <w:rFonts w:ascii="Arial" w:eastAsia="Arial" w:hAnsi="Arial" w:cs="Arial"/>
                <w:b/>
                <w:color w:val="107087"/>
                <w:sz w:val="16"/>
                <w:szCs w:val="16"/>
              </w:rPr>
              <w:t>Agreement</w:t>
            </w:r>
            <w:r w:rsidR="00EC6F23">
              <w:rPr>
                <w:rFonts w:ascii="Arial" w:eastAsia="Arial" w:hAnsi="Arial" w:cs="Arial"/>
                <w:sz w:val="16"/>
                <w:szCs w:val="16"/>
              </w:rPr>
              <w:t xml:space="preserve"> except as necessary for providing the Service for </w:t>
            </w:r>
            <w:r w:rsidR="00EC6F23">
              <w:rPr>
                <w:rFonts w:ascii="Arial" w:eastAsia="Arial" w:hAnsi="Arial" w:cs="Arial"/>
                <w:b/>
                <w:color w:val="107087"/>
                <w:sz w:val="16"/>
                <w:szCs w:val="16"/>
              </w:rPr>
              <w:t>Customer</w:t>
            </w:r>
            <w:r w:rsidR="00EC6F23">
              <w:rPr>
                <w:rFonts w:ascii="Arial" w:eastAsia="Arial" w:hAnsi="Arial" w:cs="Arial"/>
                <w:sz w:val="16"/>
                <w:szCs w:val="16"/>
              </w:rPr>
              <w:t xml:space="preserve">, as stated in the </w:t>
            </w:r>
            <w:r w:rsidR="00EC6F23">
              <w:rPr>
                <w:rFonts w:ascii="Arial" w:eastAsia="Arial" w:hAnsi="Arial" w:cs="Arial"/>
                <w:b/>
                <w:color w:val="107087"/>
                <w:sz w:val="16"/>
                <w:szCs w:val="16"/>
              </w:rPr>
              <w:t>Agreement</w:t>
            </w:r>
            <w:r w:rsidR="00EC6F23">
              <w:rPr>
                <w:rFonts w:ascii="Arial" w:eastAsia="Arial" w:hAnsi="Arial" w:cs="Arial"/>
                <w:sz w:val="16"/>
                <w:szCs w:val="16"/>
              </w:rPr>
              <w:t xml:space="preserve">, or as permitted by Applicable Data Protection Laws. </w:t>
            </w:r>
            <w:r w:rsidR="00EC6F23">
              <w:rPr>
                <w:rFonts w:ascii="Arial" w:eastAsia="Arial" w:hAnsi="Arial" w:cs="Arial"/>
                <w:b/>
                <w:color w:val="107087"/>
                <w:sz w:val="16"/>
                <w:szCs w:val="16"/>
              </w:rPr>
              <w:t>Provider</w:t>
            </w:r>
            <w:r w:rsidR="00EC6F23">
              <w:rPr>
                <w:rFonts w:ascii="Arial" w:eastAsia="Arial" w:hAnsi="Arial" w:cs="Arial"/>
                <w:sz w:val="16"/>
                <w:szCs w:val="16"/>
              </w:rPr>
              <w:t xml:space="preserve"> certifies that it understands the restrictions of this paragraph </w:t>
            </w:r>
            <w:r w:rsidR="00EC6F23" w:rsidRPr="00330D51">
              <w:rPr>
                <w:rFonts w:ascii="Arial" w:eastAsia="Arial" w:hAnsi="Arial" w:cs="Arial"/>
                <w:sz w:val="16"/>
                <w:szCs w:val="16"/>
              </w:rPr>
              <w:t xml:space="preserve">and will comply with all Applicable Data Protection Laws. </w:t>
            </w:r>
            <w:r w:rsidR="00EC6F23" w:rsidRPr="00330D51">
              <w:rPr>
                <w:rFonts w:ascii="Arial" w:eastAsia="Arial" w:hAnsi="Arial" w:cs="Arial"/>
                <w:b/>
                <w:color w:val="107087"/>
                <w:sz w:val="16"/>
                <w:szCs w:val="16"/>
              </w:rPr>
              <w:t>Provider</w:t>
            </w:r>
            <w:r w:rsidR="00EC6F23" w:rsidRPr="00330D51">
              <w:rPr>
                <w:rFonts w:ascii="Arial" w:eastAsia="Arial" w:hAnsi="Arial" w:cs="Arial"/>
                <w:sz w:val="16"/>
                <w:szCs w:val="16"/>
              </w:rPr>
              <w:t xml:space="preserve"> will notify </w:t>
            </w:r>
            <w:r w:rsidR="00EC6F23" w:rsidRPr="00330D51">
              <w:rPr>
                <w:rFonts w:ascii="Arial" w:eastAsia="Arial" w:hAnsi="Arial" w:cs="Arial"/>
                <w:b/>
                <w:color w:val="107087"/>
                <w:sz w:val="16"/>
                <w:szCs w:val="16"/>
              </w:rPr>
              <w:t>Customer</w:t>
            </w:r>
            <w:r w:rsidR="00EC6F23" w:rsidRPr="00330D51">
              <w:rPr>
                <w:rFonts w:ascii="Arial" w:eastAsia="Arial" w:hAnsi="Arial" w:cs="Arial"/>
                <w:sz w:val="16"/>
                <w:szCs w:val="16"/>
              </w:rPr>
              <w:t xml:space="preserve"> if it can no longer meet its obligations under the CCPA.</w:t>
            </w:r>
          </w:p>
        </w:tc>
      </w:tr>
      <w:tr w:rsidR="00170C6E" w14:paraId="4A712DF6" w14:textId="77777777">
        <w:trPr>
          <w:gridAfter w:val="1"/>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D03160A" w14:textId="77777777" w:rsidR="00170C6E" w:rsidRDefault="00000000">
            <w:pPr>
              <w:tabs>
                <w:tab w:val="left" w:pos="519"/>
              </w:tabs>
              <w:ind w:hanging="114"/>
              <w:rPr>
                <w:rFonts w:ascii="Arial" w:eastAsia="Arial" w:hAnsi="Arial" w:cs="Arial"/>
                <w:b/>
                <w:color w:val="8C8D8E"/>
                <w:sz w:val="18"/>
                <w:szCs w:val="18"/>
              </w:rPr>
            </w:pPr>
            <w:r>
              <w:rPr>
                <w:rFonts w:ascii="Arial" w:eastAsia="Arial" w:hAnsi="Arial" w:cs="Arial"/>
                <w:b/>
                <w:color w:val="8C8D8E"/>
                <w:sz w:val="18"/>
                <w:szCs w:val="18"/>
              </w:rPr>
              <w:t>Restricted Transfers</w:t>
            </w:r>
          </w:p>
        </w:tc>
      </w:tr>
      <w:tr w:rsidR="00170C6E" w14:paraId="15020B66"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2FD1646" w14:textId="77777777" w:rsidR="00170C6E" w:rsidRDefault="00000000">
            <w:pPr>
              <w:rPr>
                <w:rFonts w:ascii="Arial" w:eastAsia="Arial" w:hAnsi="Arial" w:cs="Arial"/>
                <w:b/>
                <w:color w:val="8C8D8E"/>
                <w:sz w:val="18"/>
                <w:szCs w:val="18"/>
              </w:rPr>
            </w:pPr>
            <w:r>
              <w:rPr>
                <w:rFonts w:ascii="Arial" w:eastAsia="Arial" w:hAnsi="Arial" w:cs="Arial"/>
                <w:b/>
                <w:sz w:val="18"/>
                <w:szCs w:val="18"/>
              </w:rPr>
              <w:t>Governing Member State</w:t>
            </w:r>
          </w:p>
        </w:tc>
        <w:tc>
          <w:tcPr>
            <w:tcW w:w="6660" w:type="dxa"/>
            <w:tcBorders>
              <w:top w:val="single" w:sz="4" w:space="0" w:color="C7C7C7"/>
              <w:left w:val="nil"/>
              <w:bottom w:val="single" w:sz="4" w:space="0" w:color="C7C7C7"/>
              <w:right w:val="nil"/>
            </w:tcBorders>
            <w:vAlign w:val="center"/>
          </w:tcPr>
          <w:p w14:paraId="724C6873"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Select EEA for data transfers originating within the EEA; select UK for data transfers originating within the UK ]</w:t>
            </w:r>
          </w:p>
          <w:p w14:paraId="784FE8B4" w14:textId="77777777" w:rsidR="00170C6E" w:rsidRDefault="00170C6E">
            <w:pPr>
              <w:tabs>
                <w:tab w:val="left" w:pos="519"/>
              </w:tabs>
              <w:spacing w:line="276" w:lineRule="auto"/>
              <w:rPr>
                <w:rFonts w:ascii="Arial" w:eastAsia="Arial" w:hAnsi="Arial" w:cs="Arial"/>
                <w:sz w:val="16"/>
                <w:szCs w:val="16"/>
              </w:rPr>
            </w:pPr>
          </w:p>
          <w:p w14:paraId="2C9F3502" w14:textId="77777777" w:rsidR="00170C6E" w:rsidRDefault="00000000">
            <w:pPr>
              <w:tabs>
                <w:tab w:val="left" w:pos="519"/>
              </w:tabs>
              <w:spacing w:line="276" w:lineRule="auto"/>
              <w:rPr>
                <w:rFonts w:ascii="Arial" w:eastAsia="Arial" w:hAnsi="Arial" w:cs="Arial"/>
                <w:color w:val="000000"/>
                <w:sz w:val="16"/>
                <w:szCs w:val="16"/>
                <w:highlight w:val="yellow"/>
              </w:rPr>
            </w:pPr>
            <w:r>
              <w:rPr>
                <w:rFonts w:ascii="Arial" w:eastAsia="Arial" w:hAnsi="Arial" w:cs="Arial"/>
                <w:sz w:val="16"/>
                <w:szCs w:val="16"/>
              </w:rPr>
              <w:t>[    ]</w:t>
            </w:r>
            <w:r>
              <w:rPr>
                <w:rFonts w:ascii="Arial" w:eastAsia="Arial" w:hAnsi="Arial" w:cs="Arial"/>
                <w:sz w:val="16"/>
                <w:szCs w:val="16"/>
              </w:rPr>
              <w:tab/>
              <w:t xml:space="preserve">EEA Transfers: </w:t>
            </w:r>
            <w:r>
              <w:rPr>
                <w:rFonts w:ascii="Arial" w:eastAsia="Arial" w:hAnsi="Arial" w:cs="Arial"/>
                <w:color w:val="000000"/>
                <w:sz w:val="16"/>
                <w:szCs w:val="16"/>
                <w:highlight w:val="yellow"/>
              </w:rPr>
              <w:t>{eu_member_state}</w:t>
            </w:r>
          </w:p>
          <w:p w14:paraId="72C14BB1" w14:textId="77777777" w:rsidR="00170C6E" w:rsidRDefault="00170C6E">
            <w:pPr>
              <w:spacing w:line="276" w:lineRule="auto"/>
              <w:rPr>
                <w:rFonts w:ascii="Arial" w:eastAsia="Arial" w:hAnsi="Arial" w:cs="Arial"/>
                <w:sz w:val="16"/>
                <w:szCs w:val="16"/>
              </w:rPr>
            </w:pPr>
          </w:p>
          <w:p w14:paraId="7C81A774" w14:textId="77777777" w:rsidR="00170C6E" w:rsidRDefault="00000000">
            <w:pPr>
              <w:tabs>
                <w:tab w:val="left" w:pos="520"/>
              </w:tabs>
              <w:rPr>
                <w:rFonts w:ascii="Arial" w:eastAsia="Arial" w:hAnsi="Arial" w:cs="Arial"/>
                <w:b/>
                <w:color w:val="8C8D8E"/>
                <w:sz w:val="18"/>
                <w:szCs w:val="18"/>
              </w:rPr>
            </w:pPr>
            <w:r>
              <w:rPr>
                <w:rFonts w:ascii="Arial" w:eastAsia="Arial" w:hAnsi="Arial" w:cs="Arial"/>
                <w:sz w:val="16"/>
                <w:szCs w:val="16"/>
              </w:rPr>
              <w:t>[    ]</w:t>
            </w:r>
            <w:r>
              <w:rPr>
                <w:rFonts w:ascii="Arial" w:eastAsia="Arial" w:hAnsi="Arial" w:cs="Arial"/>
                <w:sz w:val="16"/>
                <w:szCs w:val="16"/>
              </w:rPr>
              <w:tab/>
              <w:t xml:space="preserve">UK Transfers: </w:t>
            </w:r>
            <w:r>
              <w:rPr>
                <w:rFonts w:ascii="Arial" w:eastAsia="Arial" w:hAnsi="Arial" w:cs="Arial"/>
                <w:sz w:val="16"/>
                <w:szCs w:val="16"/>
                <w:highlight w:val="yellow"/>
              </w:rPr>
              <w:t xml:space="preserve">{uk_governing_law}</w:t>
            </w:r>
          </w:p>
        </w:tc>
      </w:tr>
      <w:tr w:rsidR="00170C6E" w14:paraId="51CF1DAE" w14:textId="77777777">
        <w:trPr>
          <w:gridAfter w:val="1"/>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A7BFE15"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I(A) List of Parties</w:t>
            </w:r>
          </w:p>
        </w:tc>
      </w:tr>
      <w:tr w:rsidR="00170C6E" w14:paraId="4F9C7CAF"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1B282F1"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Data Exporter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8560C2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Name: Customer</w:t>
            </w:r>
          </w:p>
          <w:p w14:paraId="681CFB46"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Address: </w:t>
            </w:r>
            <w:r>
              <w:rPr>
                <w:rFonts w:ascii="Arial" w:eastAsia="Arial" w:hAnsi="Arial" w:cs="Arial"/>
                <w:color w:val="000000"/>
                <w:sz w:val="16"/>
                <w:szCs w:val="16"/>
                <w:highlight w:val="yellow"/>
              </w:rPr>
              <w:t>{customer_address}</w:t>
            </w:r>
          </w:p>
          <w:p w14:paraId="3AE094B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Contact Person:</w:t>
            </w:r>
          </w:p>
          <w:p w14:paraId="54B69DC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Name: </w:t>
            </w:r>
            <w:r>
              <w:rPr>
                <w:rFonts w:ascii="Arial" w:eastAsia="Arial" w:hAnsi="Arial" w:cs="Arial"/>
                <w:color w:val="000000"/>
                <w:sz w:val="16"/>
                <w:szCs w:val="16"/>
                <w:highlight w:val="yellow"/>
              </w:rPr>
              <w:t>{customer_contact_name}</w:t>
            </w:r>
          </w:p>
          <w:p w14:paraId="7CCFBEF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Position: </w:t>
            </w:r>
            <w:r>
              <w:rPr>
                <w:rFonts w:ascii="Arial" w:eastAsia="Arial" w:hAnsi="Arial" w:cs="Arial"/>
                <w:color w:val="000000"/>
                <w:sz w:val="16"/>
                <w:szCs w:val="16"/>
                <w:highlight w:val="yellow"/>
              </w:rPr>
              <w:t>{customer_contact_title}</w:t>
            </w:r>
          </w:p>
          <w:p w14:paraId="48DD3A15" w14:textId="77777777" w:rsidR="00170C6E" w:rsidRDefault="00000000">
            <w:pPr>
              <w:tabs>
                <w:tab w:val="left" w:pos="519"/>
              </w:tabs>
              <w:ind w:left="1689" w:hanging="1689"/>
              <w:rPr>
                <w:rFonts w:ascii="Arial" w:eastAsia="Arial" w:hAnsi="Arial" w:cs="Arial"/>
                <w:color w:val="000000"/>
                <w:sz w:val="16"/>
                <w:szCs w:val="16"/>
              </w:rPr>
            </w:pPr>
            <w:r>
              <w:rPr>
                <w:rFonts w:ascii="Arial" w:eastAsia="Arial" w:hAnsi="Arial" w:cs="Arial"/>
                <w:color w:val="000000"/>
                <w:sz w:val="16"/>
                <w:szCs w:val="16"/>
              </w:rPr>
              <w:tab/>
              <w:t xml:space="preserve">Address: </w:t>
            </w:r>
            <w:r>
              <w:rPr>
                <w:rFonts w:ascii="Arial" w:eastAsia="Arial" w:hAnsi="Arial" w:cs="Arial"/>
                <w:color w:val="000000"/>
                <w:sz w:val="16"/>
                <w:szCs w:val="16"/>
                <w:highlight w:val="yellow"/>
              </w:rPr>
              <w:t>{physical_address}</w:t>
            </w:r>
          </w:p>
          <w:p w14:paraId="6A0A0E5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Activities relevant to transfer: See Annex 1(B)</w:t>
            </w:r>
          </w:p>
          <w:p w14:paraId="1ED43FB3" w14:textId="77777777" w:rsidR="00170C6E" w:rsidRDefault="00000000">
            <w:pPr>
              <w:tabs>
                <w:tab w:val="left" w:pos="519"/>
              </w:tabs>
              <w:rPr>
                <w:rFonts w:ascii="Arial" w:eastAsia="Arial" w:hAnsi="Arial" w:cs="Arial"/>
                <w:color w:val="000000"/>
                <w:sz w:val="16"/>
                <w:szCs w:val="16"/>
                <w:highlight w:val="lightGray"/>
              </w:rPr>
            </w:pPr>
            <w:r>
              <w:rPr>
                <w:rFonts w:ascii="Arial" w:eastAsia="Arial" w:hAnsi="Arial" w:cs="Arial"/>
                <w:color w:val="000000"/>
                <w:sz w:val="16"/>
                <w:szCs w:val="16"/>
              </w:rPr>
              <w:t xml:space="preserve">Role: </w:t>
            </w:r>
            <w:r>
              <w:rPr>
                <w:rFonts w:ascii="Arial" w:eastAsia="Arial" w:hAnsi="Arial" w:cs="Arial"/>
                <w:color w:val="000000"/>
                <w:sz w:val="16"/>
                <w:szCs w:val="16"/>
                <w:highlight w:val="yellow"/>
              </w:rPr>
              <w:t>{provider_role}</w:t>
            </w:r>
          </w:p>
        </w:tc>
      </w:tr>
      <w:tr w:rsidR="00170C6E" w14:paraId="0AE10553" w14:textId="77777777">
        <w:trPr>
          <w:gridAfter w:val="1"/>
          <w:trHeight w:val="134"/>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682A6E" w14:textId="77777777" w:rsidR="00170C6E" w:rsidRDefault="00000000">
            <w:pPr>
              <w:rPr>
                <w:rFonts w:ascii="Arial" w:eastAsia="Arial" w:hAnsi="Arial" w:cs="Arial"/>
                <w:b/>
                <w:sz w:val="18"/>
                <w:szCs w:val="18"/>
              </w:rPr>
            </w:pPr>
            <w:r>
              <w:rPr>
                <w:rFonts w:ascii="Arial" w:eastAsia="Arial" w:hAnsi="Arial" w:cs="Arial"/>
                <w:b/>
                <w:sz w:val="18"/>
                <w:szCs w:val="18"/>
              </w:rPr>
              <w:t>Data Importer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430842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Name: Provider</w:t>
            </w:r>
          </w:p>
          <w:p w14:paraId="644B4707"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Address: </w:t>
            </w:r>
            <w:r>
              <w:rPr>
                <w:rFonts w:ascii="Arial" w:eastAsia="Arial" w:hAnsi="Arial" w:cs="Arial"/>
                <w:color w:val="000000"/>
                <w:sz w:val="16"/>
                <w:szCs w:val="16"/>
                <w:highlight w:val="yellow"/>
              </w:rPr>
              <w:t>{provider_address}</w:t>
            </w:r>
          </w:p>
          <w:p w14:paraId="36F0B67A"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xml:space="preserve">Contact Person: </w:t>
            </w:r>
          </w:p>
          <w:p w14:paraId="4B95457B"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Name: </w:t>
            </w:r>
            <w:r>
              <w:rPr>
                <w:rFonts w:ascii="Arial" w:eastAsia="Arial" w:hAnsi="Arial" w:cs="Arial"/>
                <w:color w:val="000000"/>
                <w:sz w:val="16"/>
                <w:szCs w:val="16"/>
                <w:highlight w:val="yellow"/>
              </w:rPr>
              <w:t>{provider_contact_name}</w:t>
            </w:r>
          </w:p>
          <w:p w14:paraId="38974D63"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Position: </w:t>
            </w:r>
            <w:r>
              <w:rPr>
                <w:rFonts w:ascii="Arial" w:eastAsia="Arial" w:hAnsi="Arial" w:cs="Arial"/>
                <w:color w:val="000000"/>
                <w:sz w:val="16"/>
                <w:szCs w:val="16"/>
                <w:highlight w:val="yellow"/>
              </w:rPr>
              <w:t>{provider_contact_title}</w:t>
            </w:r>
          </w:p>
          <w:p w14:paraId="1F80904E"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b/>
              <w:t xml:space="preserve">Address: </w:t>
            </w:r>
            <w:r>
              <w:rPr>
                <w:rFonts w:ascii="Arial" w:eastAsia="Arial" w:hAnsi="Arial" w:cs="Arial"/>
                <w:color w:val="000000"/>
                <w:sz w:val="16"/>
                <w:szCs w:val="16"/>
                <w:highlight w:val="yellow"/>
              </w:rPr>
              <w:t>{physical_address}</w:t>
            </w:r>
          </w:p>
          <w:p w14:paraId="222CC2CD"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Activities relevant to transfer: See Annex 1(B)</w:t>
            </w:r>
          </w:p>
          <w:p w14:paraId="2A39EA5F" w14:textId="77777777" w:rsidR="00170C6E" w:rsidRDefault="00000000">
            <w:pPr>
              <w:tabs>
                <w:tab w:val="left" w:pos="519"/>
              </w:tabs>
              <w:rPr>
                <w:rFonts w:ascii="Arial" w:eastAsia="Arial" w:hAnsi="Arial" w:cs="Arial"/>
                <w:i/>
                <w:color w:val="000000"/>
                <w:sz w:val="16"/>
                <w:szCs w:val="16"/>
                <w:highlight w:val="lightGray"/>
              </w:rPr>
            </w:pPr>
            <w:r>
              <w:rPr>
                <w:rFonts w:ascii="Arial" w:eastAsia="Arial" w:hAnsi="Arial" w:cs="Arial"/>
                <w:color w:val="000000"/>
                <w:sz w:val="16"/>
                <w:szCs w:val="16"/>
              </w:rPr>
              <w:t>Role: Processor</w:t>
            </w:r>
          </w:p>
        </w:tc>
      </w:tr>
      <w:tr w:rsidR="00170C6E" w14:paraId="12D40D50" w14:textId="77777777">
        <w:trPr>
          <w:gridAfter w:val="1"/>
          <w:trHeight w:val="1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7595E737"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I(B) Description of Transfer and Processing Activities</w:t>
            </w:r>
          </w:p>
        </w:tc>
      </w:tr>
      <w:tr w:rsidR="00170C6E" w14:paraId="3D9D9FFB"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C0F71EE" w14:textId="77777777" w:rsidR="00170C6E" w:rsidRDefault="00000000">
            <w:pPr>
              <w:rPr>
                <w:rFonts w:ascii="Arial" w:eastAsia="Arial" w:hAnsi="Arial" w:cs="Arial"/>
                <w:b/>
                <w:sz w:val="18"/>
                <w:szCs w:val="18"/>
              </w:rPr>
            </w:pPr>
            <w:r>
              <w:rPr>
                <w:rFonts w:ascii="Arial" w:eastAsia="Arial" w:hAnsi="Arial" w:cs="Arial"/>
                <w:b/>
                <w:sz w:val="18"/>
                <w:szCs w:val="18"/>
              </w:rPr>
              <w:t>Service</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7929652"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highlight w:val="yellow"/>
              </w:rPr>
              <w:t>{product_name}</w:t>
            </w:r>
          </w:p>
        </w:tc>
      </w:tr>
      <w:tr w:rsidR="00170C6E" w14:paraId="32E6424E" w14:textId="77777777">
        <w:trPr>
          <w:gridAfter w:val="1"/>
          <w:trHeight w:val="53"/>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30F3201" w14:textId="77777777" w:rsidR="00170C6E" w:rsidRDefault="00000000">
            <w:pPr>
              <w:rPr>
                <w:rFonts w:ascii="Arial" w:eastAsia="Arial" w:hAnsi="Arial" w:cs="Arial"/>
                <w:i/>
                <w:sz w:val="18"/>
                <w:szCs w:val="18"/>
              </w:rPr>
            </w:pPr>
            <w:r>
              <w:rPr>
                <w:rFonts w:ascii="Arial" w:eastAsia="Arial" w:hAnsi="Arial" w:cs="Arial"/>
                <w:b/>
                <w:sz w:val="18"/>
                <w:szCs w:val="18"/>
              </w:rPr>
              <w:t>Categories of Data Subjects</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8FE37B0"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apply, customize as needed, and delete the rest. ]</w:t>
            </w:r>
          </w:p>
          <w:p w14:paraId="2BAB4749" w14:textId="77777777" w:rsidR="00170C6E" w:rsidRDefault="00170C6E">
            <w:pPr>
              <w:tabs>
                <w:tab w:val="left" w:pos="519"/>
              </w:tabs>
              <w:rPr>
                <w:rFonts w:ascii="Arial" w:eastAsia="Arial" w:hAnsi="Arial" w:cs="Arial"/>
                <w:sz w:val="16"/>
                <w:szCs w:val="16"/>
              </w:rPr>
            </w:pPr>
          </w:p>
          <w:p w14:paraId="64DA8805"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Customer’s end users or customers</w:t>
            </w:r>
          </w:p>
          <w:p w14:paraId="2EA1131D"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Customer’s employees</w:t>
            </w:r>
          </w:p>
          <w:p w14:paraId="74671D91"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sz w:val="16"/>
                <w:szCs w:val="16"/>
                <w:highlight w:val="yellow"/>
              </w:rPr>
              <w:t xml:space="preserve">{custom_option}</w:t>
            </w:r>
          </w:p>
        </w:tc>
      </w:tr>
      <w:tr w:rsidR="00170C6E" w14:paraId="1CEFEA36"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68A8320" w14:textId="77777777" w:rsidR="00170C6E" w:rsidRDefault="00000000">
            <w:pPr>
              <w:rPr>
                <w:rFonts w:ascii="Arial" w:eastAsia="Arial" w:hAnsi="Arial" w:cs="Arial"/>
                <w:b/>
                <w:sz w:val="18"/>
                <w:szCs w:val="18"/>
              </w:rPr>
            </w:pPr>
            <w:r>
              <w:rPr>
                <w:rFonts w:ascii="Arial" w:eastAsia="Arial" w:hAnsi="Arial" w:cs="Arial"/>
                <w:b/>
                <w:sz w:val="18"/>
                <w:szCs w:val="18"/>
              </w:rPr>
              <w:t>Categories of Personal Data</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AD545D4"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apply, customize as needed, and delete the rest. ]</w:t>
            </w:r>
          </w:p>
          <w:p w14:paraId="72E4C2BC" w14:textId="77777777" w:rsidR="00170C6E" w:rsidRDefault="00170C6E">
            <w:pPr>
              <w:tabs>
                <w:tab w:val="left" w:pos="519"/>
              </w:tabs>
              <w:rPr>
                <w:rFonts w:ascii="Arial" w:eastAsia="Arial" w:hAnsi="Arial" w:cs="Arial"/>
                <w:sz w:val="16"/>
                <w:szCs w:val="16"/>
              </w:rPr>
            </w:pPr>
          </w:p>
          <w:p w14:paraId="4D0F95A4"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sz w:val="16"/>
                <w:szCs w:val="16"/>
              </w:rPr>
              <w:t>Name</w:t>
            </w:r>
          </w:p>
          <w:p w14:paraId="69EC8B45"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sz w:val="16"/>
                <w:szCs w:val="16"/>
              </w:rPr>
              <w:t>Contact information such as email, phone number, or address</w:t>
            </w:r>
          </w:p>
          <w:p w14:paraId="32A7B5FA"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sz w:val="16"/>
                <w:szCs w:val="16"/>
              </w:rPr>
              <w:t>Employment information such as employee ID or compensation</w:t>
            </w:r>
          </w:p>
          <w:p w14:paraId="66FCFE7A"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t>Financial information such as bank account numbers</w:t>
            </w:r>
          </w:p>
          <w:p w14:paraId="12BB732D"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t>Professional or biographic information such as resume or CV</w:t>
            </w:r>
          </w:p>
          <w:p w14:paraId="3C3E4B8E"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t>Transactional information such as account information or purchases</w:t>
            </w:r>
          </w:p>
          <w:p w14:paraId="3CE567FE"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t>User activity and analysis such as device information or IP address</w:t>
            </w:r>
          </w:p>
          <w:p w14:paraId="47D35A35"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t>Location information</w:t>
            </w:r>
          </w:p>
          <w:p w14:paraId="1238826A"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color w:val="000000"/>
                <w:sz w:val="16"/>
                <w:szCs w:val="16"/>
                <w:highlight w:val="yellow"/>
              </w:rPr>
              <w:t>{custom_option}</w:t>
            </w:r>
          </w:p>
        </w:tc>
      </w:tr>
      <w:tr w:rsidR="00170C6E" w14:paraId="7C85DC4C" w14:textId="77777777">
        <w:trPr>
          <w:gridAfter w:val="1"/>
          <w:trHeight w:val="429"/>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F8DAF5" w14:textId="77777777" w:rsidR="00170C6E" w:rsidRDefault="00000000">
            <w:pPr>
              <w:rPr>
                <w:rFonts w:ascii="Arial" w:eastAsia="Arial" w:hAnsi="Arial" w:cs="Arial"/>
                <w:b/>
                <w:sz w:val="18"/>
                <w:szCs w:val="18"/>
              </w:rPr>
            </w:pPr>
            <w:r>
              <w:rPr>
                <w:rFonts w:ascii="Arial" w:eastAsia="Arial" w:hAnsi="Arial" w:cs="Arial"/>
                <w:b/>
                <w:sz w:val="18"/>
                <w:szCs w:val="18"/>
              </w:rPr>
              <w:t>Special Category Data</w:t>
            </w:r>
          </w:p>
          <w:p w14:paraId="77F4AB76" w14:textId="77777777" w:rsidR="00170C6E" w:rsidRDefault="00000000">
            <w:pPr>
              <w:rPr>
                <w:rFonts w:ascii="Arial" w:eastAsia="Arial" w:hAnsi="Arial" w:cs="Arial"/>
                <w:b/>
                <w:sz w:val="18"/>
                <w:szCs w:val="18"/>
              </w:rPr>
            </w:pPr>
            <w:r>
              <w:rPr>
                <w:rFonts w:ascii="Arial" w:eastAsia="Arial" w:hAnsi="Arial" w:cs="Arial"/>
                <w:b/>
                <w:color w:val="8C8D8E"/>
                <w:sz w:val="14"/>
                <w:szCs w:val="14"/>
              </w:rPr>
              <w:t>Is special category data Processed?</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62D27F"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select one or the other. ]</w:t>
            </w:r>
          </w:p>
          <w:p w14:paraId="6A31F294" w14:textId="77777777" w:rsidR="00170C6E" w:rsidRDefault="00170C6E">
            <w:pPr>
              <w:tabs>
                <w:tab w:val="left" w:pos="519"/>
              </w:tabs>
              <w:rPr>
                <w:rFonts w:ascii="Arial" w:eastAsia="Arial" w:hAnsi="Arial" w:cs="Arial"/>
                <w:color w:val="000000"/>
                <w:sz w:val="16"/>
                <w:szCs w:val="16"/>
              </w:rPr>
            </w:pPr>
          </w:p>
          <w:p w14:paraId="19340A8F"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 Yes</w:t>
            </w:r>
            <w:r>
              <w:rPr>
                <w:rFonts w:ascii="Arial" w:eastAsia="Arial" w:hAnsi="Arial" w:cs="Arial"/>
                <w:color w:val="000000"/>
                <w:sz w:val="16"/>
                <w:szCs w:val="16"/>
              </w:rPr>
              <w:tab/>
            </w:r>
            <w:r>
              <w:rPr>
                <w:rFonts w:ascii="Arial" w:eastAsia="Arial" w:hAnsi="Arial" w:cs="Arial"/>
                <w:color w:val="000000"/>
                <w:sz w:val="16"/>
                <w:szCs w:val="16"/>
              </w:rPr>
              <w:tab/>
              <w:t>(   ) No</w:t>
            </w:r>
          </w:p>
        </w:tc>
      </w:tr>
      <w:tr w:rsidR="00170C6E" w14:paraId="0635E12C" w14:textId="77777777">
        <w:trPr>
          <w:gridAfter w:val="1"/>
          <w:trHeight w:val="1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615356" w14:textId="77777777" w:rsidR="00170C6E" w:rsidRDefault="00000000">
            <w:pPr>
              <w:rPr>
                <w:rFonts w:ascii="Arial" w:eastAsia="Arial" w:hAnsi="Arial" w:cs="Arial"/>
                <w:b/>
                <w:sz w:val="18"/>
                <w:szCs w:val="18"/>
              </w:rPr>
            </w:pPr>
            <w:r>
              <w:rPr>
                <w:rFonts w:ascii="Arial" w:eastAsia="Arial" w:hAnsi="Arial" w:cs="Arial"/>
                <w:b/>
                <w:sz w:val="18"/>
                <w:szCs w:val="18"/>
              </w:rPr>
              <w:t>Special Category Data Restrictions or Safeguards</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EC6CA28"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If “Yes” is selected above, identify the safeguards in place to protect special category data by checking the applicable box, customizing as needed, and deleting the rest. If “No” is selected above, delete this entire row. ]</w:t>
            </w:r>
          </w:p>
          <w:p w14:paraId="3B46380C" w14:textId="77777777" w:rsidR="00170C6E" w:rsidRDefault="00170C6E">
            <w:pPr>
              <w:tabs>
                <w:tab w:val="left" w:pos="519"/>
              </w:tabs>
              <w:rPr>
                <w:rFonts w:ascii="Arial" w:eastAsia="Arial" w:hAnsi="Arial" w:cs="Arial"/>
                <w:color w:val="000000"/>
                <w:sz w:val="16"/>
                <w:szCs w:val="16"/>
              </w:rPr>
            </w:pPr>
          </w:p>
          <w:p w14:paraId="0FE10432" w14:textId="77777777" w:rsidR="00170C6E" w:rsidRDefault="00000000">
            <w:pPr>
              <w:tabs>
                <w:tab w:val="left" w:pos="519"/>
              </w:tabs>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t xml:space="preserve">See Security Policy </w:t>
            </w:r>
          </w:p>
          <w:p w14:paraId="466AB1DA" w14:textId="77777777" w:rsidR="00170C6E" w:rsidRDefault="00000000">
            <w:pPr>
              <w:tabs>
                <w:tab w:val="left" w:pos="519"/>
              </w:tabs>
              <w:rPr>
                <w:rFonts w:ascii="Arial" w:eastAsia="Arial" w:hAnsi="Arial" w:cs="Arial"/>
                <w:color w:val="000000"/>
                <w:sz w:val="16"/>
                <w:szCs w:val="16"/>
                <w:highlight w:val="yellow"/>
              </w:rPr>
            </w:pPr>
            <w:r>
              <w:rPr>
                <w:rFonts w:ascii="Arial" w:eastAsia="Arial" w:hAnsi="Arial" w:cs="Arial"/>
                <w:color w:val="000000"/>
                <w:sz w:val="16"/>
                <w:szCs w:val="16"/>
              </w:rPr>
              <w:t xml:space="preserve">[   ] </w:t>
            </w:r>
            <w:r>
              <w:rPr>
                <w:rFonts w:ascii="Arial" w:eastAsia="Arial" w:hAnsi="Arial" w:cs="Arial"/>
                <w:color w:val="000000"/>
                <w:sz w:val="16"/>
                <w:szCs w:val="16"/>
              </w:rPr>
              <w:tab/>
            </w:r>
            <w:r>
              <w:rPr>
                <w:rFonts w:ascii="Arial" w:eastAsia="Arial" w:hAnsi="Arial" w:cs="Arial"/>
                <w:color w:val="000000"/>
                <w:sz w:val="16"/>
                <w:szCs w:val="16"/>
                <w:highlight w:val="yellow"/>
              </w:rPr>
              <w:t>{custom_option}</w:t>
            </w:r>
          </w:p>
        </w:tc>
      </w:tr>
      <w:tr w:rsidR="00170C6E" w14:paraId="6AC87A53" w14:textId="77777777">
        <w:trPr>
          <w:gridAfter w:val="1"/>
          <w:trHeight w:val="418"/>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C0C1AD1" w14:textId="77777777" w:rsidR="00170C6E" w:rsidRDefault="00000000">
            <w:pPr>
              <w:rPr>
                <w:rFonts w:ascii="Arial" w:eastAsia="Arial" w:hAnsi="Arial" w:cs="Arial"/>
                <w:b/>
                <w:sz w:val="18"/>
                <w:szCs w:val="18"/>
              </w:rPr>
            </w:pPr>
            <w:r>
              <w:rPr>
                <w:rFonts w:ascii="Arial" w:eastAsia="Arial" w:hAnsi="Arial" w:cs="Arial"/>
                <w:b/>
                <w:sz w:val="18"/>
                <w:szCs w:val="18"/>
              </w:rPr>
              <w:t>Frequency of Transfer</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76DA8DA"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apply, customize as needed, and delete the rest. ]</w:t>
            </w:r>
          </w:p>
          <w:p w14:paraId="24F3A6BD" w14:textId="77777777" w:rsidR="00170C6E" w:rsidRDefault="00170C6E">
            <w:pPr>
              <w:tabs>
                <w:tab w:val="left" w:pos="519"/>
              </w:tabs>
              <w:rPr>
                <w:rFonts w:ascii="Arial" w:eastAsia="Arial" w:hAnsi="Arial" w:cs="Arial"/>
                <w:sz w:val="16"/>
                <w:szCs w:val="16"/>
              </w:rPr>
            </w:pPr>
          </w:p>
          <w:p w14:paraId="32505795"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sz w:val="16"/>
                <w:szCs w:val="16"/>
              </w:rPr>
              <w:tab/>
              <w:t>Continuous</w:t>
            </w:r>
          </w:p>
          <w:p w14:paraId="4F3CCE70"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sz w:val="16"/>
                <w:szCs w:val="16"/>
                <w:highlight w:val="yellow"/>
              </w:rPr>
              <w:t xml:space="preserve">{custom_options}</w:t>
            </w:r>
          </w:p>
        </w:tc>
      </w:tr>
      <w:tr w:rsidR="00170C6E" w14:paraId="064FFE81" w14:textId="77777777">
        <w:trPr>
          <w:gridAfter w:val="1"/>
          <w:trHeight w:val="418"/>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09A19D" w14:textId="77777777" w:rsidR="00170C6E" w:rsidRDefault="00000000">
            <w:pPr>
              <w:rPr>
                <w:rFonts w:ascii="Arial" w:eastAsia="Arial" w:hAnsi="Arial" w:cs="Arial"/>
                <w:b/>
                <w:sz w:val="18"/>
                <w:szCs w:val="18"/>
              </w:rPr>
            </w:pPr>
            <w:r>
              <w:rPr>
                <w:rFonts w:ascii="Arial" w:eastAsia="Arial" w:hAnsi="Arial" w:cs="Arial"/>
                <w:b/>
                <w:sz w:val="18"/>
                <w:szCs w:val="18"/>
              </w:rPr>
              <w:t>Nature and Purpose of Processing</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489C740"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Provider will Process Customer Personal Data as instructed in Section 3.2 of the DPA Standard Terms. The nature of processing includes</w:t>
            </w:r>
            <w:r>
              <w:rPr>
                <w:rFonts w:ascii="Arial" w:eastAsia="Arial" w:hAnsi="Arial" w:cs="Arial"/>
                <w:color w:val="000000"/>
                <w:sz w:val="16"/>
                <w:szCs w:val="16"/>
              </w:rPr>
              <w:t>:</w:t>
            </w:r>
          </w:p>
          <w:p w14:paraId="04AD931B" w14:textId="77777777" w:rsidR="00170C6E" w:rsidRDefault="00170C6E">
            <w:pPr>
              <w:tabs>
                <w:tab w:val="left" w:pos="519"/>
              </w:tabs>
              <w:rPr>
                <w:rFonts w:ascii="Arial" w:eastAsia="Arial" w:hAnsi="Arial" w:cs="Arial"/>
                <w:color w:val="000000"/>
                <w:sz w:val="16"/>
                <w:szCs w:val="16"/>
              </w:rPr>
            </w:pPr>
          </w:p>
          <w:p w14:paraId="11F136C6"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are applicable, customize as needed, and delete the rest. ]</w:t>
            </w:r>
          </w:p>
          <w:p w14:paraId="6DCEF3BD" w14:textId="77777777" w:rsidR="00170C6E" w:rsidRDefault="00170C6E">
            <w:pPr>
              <w:tabs>
                <w:tab w:val="left" w:pos="519"/>
              </w:tabs>
              <w:rPr>
                <w:rFonts w:ascii="Arial" w:eastAsia="Arial" w:hAnsi="Arial" w:cs="Arial"/>
                <w:color w:val="000000"/>
                <w:sz w:val="16"/>
                <w:szCs w:val="16"/>
              </w:rPr>
            </w:pPr>
          </w:p>
          <w:p w14:paraId="37698123" w14:textId="77777777" w:rsidR="00170C6E" w:rsidRDefault="00000000">
            <w:pPr>
              <w:tabs>
                <w:tab w:val="left" w:pos="519"/>
              </w:tabs>
              <w:ind w:left="519" w:hanging="540"/>
              <w:rPr>
                <w:rFonts w:ascii="Arial" w:eastAsia="Arial" w:hAnsi="Arial" w:cs="Arial"/>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Receiving data, including collection, accessing, retrieval, recording, and data entry</w:t>
            </w:r>
          </w:p>
          <w:p w14:paraId="658BEFB5"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Holding data, including storage, organization, and structuring</w:t>
            </w:r>
          </w:p>
          <w:p w14:paraId="4477E458"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Using data, including analysis, consultation, testing, automated decision making, and profiling</w:t>
            </w:r>
          </w:p>
          <w:p w14:paraId="467FEBE5"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lastRenderedPageBreak/>
              <w:t>[    ]</w:t>
            </w:r>
            <w:r>
              <w:rPr>
                <w:rFonts w:ascii="Arial" w:eastAsia="Arial" w:hAnsi="Arial" w:cs="Arial"/>
                <w:color w:val="000000"/>
                <w:sz w:val="16"/>
                <w:szCs w:val="16"/>
              </w:rPr>
              <w:t xml:space="preserve"> </w:t>
            </w:r>
            <w:r>
              <w:rPr>
                <w:rFonts w:ascii="Arial" w:eastAsia="Arial" w:hAnsi="Arial" w:cs="Arial"/>
                <w:color w:val="000000"/>
                <w:sz w:val="16"/>
                <w:szCs w:val="16"/>
              </w:rPr>
              <w:tab/>
              <w:t>Updating data, including correcting, adaptation, alteration, alignment, and combination</w:t>
            </w:r>
          </w:p>
          <w:p w14:paraId="3489878F"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Protecting data, including restricting, encrypting, and security testing</w:t>
            </w:r>
          </w:p>
          <w:p w14:paraId="1B224AD9"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Sharing data, including disclosure, dissemination, allowing access, or otherwise making available</w:t>
            </w:r>
          </w:p>
          <w:p w14:paraId="0D9E2EC4"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Returning data to the data exporter or data subject</w:t>
            </w:r>
          </w:p>
          <w:p w14:paraId="0874D712" w14:textId="77777777" w:rsidR="00170C6E" w:rsidRDefault="00000000">
            <w:pPr>
              <w:tabs>
                <w:tab w:val="left" w:pos="519"/>
              </w:tabs>
              <w:ind w:left="519" w:hanging="540"/>
              <w:rPr>
                <w:rFonts w:ascii="Arial" w:eastAsia="Arial" w:hAnsi="Arial" w:cs="Arial"/>
                <w:sz w:val="16"/>
                <w:szCs w:val="16"/>
              </w:rPr>
            </w:pPr>
            <w:r>
              <w:rPr>
                <w:rFonts w:ascii="Arial" w:eastAsia="Arial" w:hAnsi="Arial" w:cs="Arial"/>
                <w:sz w:val="16"/>
                <w:szCs w:val="16"/>
              </w:rPr>
              <w:t>[    ]</w:t>
            </w:r>
            <w:r>
              <w:rPr>
                <w:rFonts w:ascii="Arial" w:eastAsia="Arial" w:hAnsi="Arial" w:cs="Arial"/>
                <w:color w:val="000000"/>
                <w:sz w:val="16"/>
                <w:szCs w:val="16"/>
              </w:rPr>
              <w:t xml:space="preserve"> </w:t>
            </w:r>
            <w:r>
              <w:rPr>
                <w:rFonts w:ascii="Arial" w:eastAsia="Arial" w:hAnsi="Arial" w:cs="Arial"/>
                <w:color w:val="000000"/>
                <w:sz w:val="16"/>
                <w:szCs w:val="16"/>
              </w:rPr>
              <w:tab/>
              <w:t>Erasing data, including destruction and deletion</w:t>
            </w:r>
          </w:p>
          <w:p w14:paraId="056B740E" w14:textId="77777777" w:rsidR="00170C6E" w:rsidRDefault="00000000">
            <w:pPr>
              <w:tabs>
                <w:tab w:val="left" w:pos="519"/>
              </w:tabs>
              <w:ind w:left="519" w:hanging="540"/>
              <w:rPr>
                <w:rFonts w:ascii="Arial" w:eastAsia="Arial" w:hAnsi="Arial" w:cs="Arial"/>
                <w:color w:val="000000"/>
                <w:sz w:val="16"/>
                <w:szCs w:val="16"/>
              </w:rPr>
            </w:pPr>
            <w:r>
              <w:rPr>
                <w:rFonts w:ascii="Arial" w:eastAsia="Arial" w:hAnsi="Arial" w:cs="Arial"/>
                <w:sz w:val="16"/>
                <w:szCs w:val="16"/>
              </w:rPr>
              <w:t xml:space="preserve">[    ] </w:t>
            </w:r>
            <w:r>
              <w:rPr>
                <w:rFonts w:ascii="Arial" w:eastAsia="Arial" w:hAnsi="Arial" w:cs="Arial"/>
                <w:color w:val="000000"/>
                <w:sz w:val="16"/>
                <w:szCs w:val="16"/>
              </w:rPr>
              <w:tab/>
            </w:r>
            <w:r>
              <w:rPr>
                <w:rFonts w:ascii="Arial" w:eastAsia="Arial" w:hAnsi="Arial" w:cs="Arial"/>
                <w:sz w:val="16"/>
                <w:szCs w:val="16"/>
                <w:highlight w:val="yellow"/>
              </w:rPr>
              <w:t xml:space="preserve">{custom_options}</w:t>
            </w:r>
          </w:p>
        </w:tc>
      </w:tr>
      <w:tr w:rsidR="00170C6E" w14:paraId="55CFB420"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E33DEE" w14:textId="77777777" w:rsidR="00170C6E" w:rsidRDefault="00000000">
            <w:pPr>
              <w:rPr>
                <w:rFonts w:ascii="Arial" w:eastAsia="Arial" w:hAnsi="Arial" w:cs="Arial"/>
                <w:b/>
                <w:sz w:val="18"/>
                <w:szCs w:val="18"/>
              </w:rPr>
            </w:pPr>
            <w:r>
              <w:rPr>
                <w:rFonts w:ascii="Arial" w:eastAsia="Arial" w:hAnsi="Arial" w:cs="Arial"/>
                <w:b/>
                <w:sz w:val="18"/>
                <w:szCs w:val="18"/>
              </w:rPr>
              <w:lastRenderedPageBreak/>
              <w:t>Duration of Processing</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9CBAD9A" w14:textId="77777777" w:rsidR="00170C6E" w:rsidRDefault="00000000">
            <w:pPr>
              <w:tabs>
                <w:tab w:val="left" w:pos="519"/>
              </w:tabs>
              <w:rPr>
                <w:rFonts w:ascii="Arial" w:eastAsia="Arial" w:hAnsi="Arial" w:cs="Arial"/>
                <w:color w:val="000000"/>
                <w:sz w:val="16"/>
                <w:szCs w:val="16"/>
              </w:rPr>
            </w:pPr>
            <w:r>
              <w:rPr>
                <w:rFonts w:ascii="Arial" w:eastAsia="Arial" w:hAnsi="Arial" w:cs="Arial"/>
                <w:sz w:val="16"/>
                <w:szCs w:val="16"/>
              </w:rPr>
              <w:t>Provider will process Customer Personal Data as long as required (i) to conduct the Processing activities instructed in Section 2.2(a)-(d) of the Standard Terms; or (ii) by Applicable Laws.</w:t>
            </w:r>
          </w:p>
        </w:tc>
      </w:tr>
      <w:tr w:rsidR="00170C6E" w14:paraId="163406EB" w14:textId="77777777">
        <w:trPr>
          <w:gridAfter w:val="1"/>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C3E1EE5"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I(C)</w:t>
            </w:r>
          </w:p>
        </w:tc>
      </w:tr>
      <w:tr w:rsidR="00170C6E" w14:paraId="1ED98563" w14:textId="77777777">
        <w:trPr>
          <w:gridAfter w:val="1"/>
          <w:trHeight w:val="23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FA2309" w14:textId="77777777" w:rsidR="00170C6E" w:rsidRDefault="00000000">
            <w:pPr>
              <w:rPr>
                <w:rFonts w:ascii="Arial" w:eastAsia="Arial" w:hAnsi="Arial" w:cs="Arial"/>
                <w:b/>
                <w:sz w:val="18"/>
                <w:szCs w:val="18"/>
              </w:rPr>
            </w:pPr>
            <w:r>
              <w:rPr>
                <w:rFonts w:ascii="Arial" w:eastAsia="Arial" w:hAnsi="Arial" w:cs="Arial"/>
                <w:b/>
                <w:sz w:val="18"/>
                <w:szCs w:val="18"/>
              </w:rPr>
              <w:t>Competent Supervisory Authority</w:t>
            </w:r>
          </w:p>
        </w:tc>
        <w:tc>
          <w:tcPr>
            <w:tcW w:w="666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B1EFCEA" w14:textId="77777777" w:rsidR="00170C6E" w:rsidRDefault="00000000">
            <w:pPr>
              <w:tabs>
                <w:tab w:val="left" w:pos="519"/>
              </w:tabs>
              <w:spacing w:line="257" w:lineRule="auto"/>
              <w:rPr>
                <w:rFonts w:ascii="Arial" w:eastAsia="Arial" w:hAnsi="Arial" w:cs="Arial"/>
                <w:sz w:val="16"/>
                <w:szCs w:val="16"/>
              </w:rPr>
            </w:pPr>
            <w:r>
              <w:rPr>
                <w:rFonts w:ascii="Arial" w:eastAsia="Arial" w:hAnsi="Arial" w:cs="Arial"/>
                <w:sz w:val="16"/>
                <w:szCs w:val="16"/>
              </w:rPr>
              <w:t>The supervisory authority will be the supervisory authority of the data exporter, as determined in accordance with Clause 13 of the EEA SCCs or the relevant provision of the UK Addendum.</w:t>
            </w:r>
          </w:p>
        </w:tc>
      </w:tr>
      <w:tr w:rsidR="00170C6E" w14:paraId="159730EA" w14:textId="77777777">
        <w:trPr>
          <w:gridAfter w:val="1"/>
          <w:trHeight w:val="236"/>
        </w:trPr>
        <w:tc>
          <w:tcPr>
            <w:tcW w:w="1008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19DEDB7E" w14:textId="77777777" w:rsidR="00170C6E" w:rsidRDefault="00000000">
            <w:pPr>
              <w:tabs>
                <w:tab w:val="left" w:pos="519"/>
              </w:tabs>
              <w:ind w:hanging="114"/>
              <w:rPr>
                <w:rFonts w:ascii="Arial" w:eastAsia="Arial" w:hAnsi="Arial" w:cs="Arial"/>
                <w:color w:val="000000"/>
                <w:sz w:val="16"/>
                <w:szCs w:val="16"/>
              </w:rPr>
            </w:pPr>
            <w:r>
              <w:rPr>
                <w:rFonts w:ascii="Arial" w:eastAsia="Arial" w:hAnsi="Arial" w:cs="Arial"/>
                <w:b/>
                <w:color w:val="8C8D8E"/>
                <w:sz w:val="18"/>
                <w:szCs w:val="18"/>
              </w:rPr>
              <w:t>Annex II</w:t>
            </w:r>
          </w:p>
        </w:tc>
      </w:tr>
      <w:tr w:rsidR="00170C6E" w14:paraId="2B3E863F" w14:textId="77777777">
        <w:trPr>
          <w:trHeight w:val="20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3C4710" w14:textId="77777777" w:rsidR="00170C6E" w:rsidRDefault="00000000">
            <w:pPr>
              <w:tabs>
                <w:tab w:val="left" w:pos="519"/>
              </w:tabs>
              <w:rPr>
                <w:rFonts w:ascii="Arial" w:eastAsia="Arial" w:hAnsi="Arial" w:cs="Arial"/>
                <w:b/>
                <w:color w:val="8C8D8E"/>
                <w:sz w:val="18"/>
                <w:szCs w:val="18"/>
              </w:rPr>
            </w:pPr>
            <w:r>
              <w:rPr>
                <w:rFonts w:ascii="Arial" w:eastAsia="Arial" w:hAnsi="Arial" w:cs="Arial"/>
                <w:b/>
                <w:sz w:val="18"/>
                <w:szCs w:val="18"/>
              </w:rPr>
              <w:t>Technical and Organizational Security Measures</w:t>
            </w:r>
          </w:p>
        </w:tc>
        <w:tc>
          <w:tcPr>
            <w:tcW w:w="6840" w:type="dxa"/>
            <w:gridSpan w:val="2"/>
            <w:tcBorders>
              <w:top w:val="single" w:sz="4" w:space="0" w:color="C7C7C7"/>
              <w:left w:val="nil"/>
              <w:bottom w:val="single" w:sz="4" w:space="0" w:color="C7C7C7"/>
              <w:right w:val="nil"/>
            </w:tcBorders>
            <w:vAlign w:val="center"/>
          </w:tcPr>
          <w:p w14:paraId="777F2AA5" w14:textId="77777777" w:rsidR="00170C6E" w:rsidRDefault="00000000">
            <w:pPr>
              <w:tabs>
                <w:tab w:val="left" w:pos="519"/>
              </w:tabs>
              <w:spacing w:line="276" w:lineRule="auto"/>
              <w:rPr>
                <w:rFonts w:ascii="Arial" w:eastAsia="Arial" w:hAnsi="Arial" w:cs="Arial"/>
                <w:i/>
                <w:sz w:val="16"/>
                <w:szCs w:val="16"/>
              </w:rPr>
            </w:pPr>
            <w:r>
              <w:rPr>
                <w:rFonts w:ascii="Arial" w:eastAsia="Arial" w:hAnsi="Arial" w:cs="Arial"/>
                <w:i/>
                <w:sz w:val="16"/>
                <w:szCs w:val="16"/>
                <w:highlight w:val="lightGray"/>
              </w:rPr>
              <w:t>[ drafting note: check all that are applicable, customize as needed, and delete the rest. ]</w:t>
            </w:r>
          </w:p>
          <w:p w14:paraId="6493E31E" w14:textId="77777777" w:rsidR="00170C6E" w:rsidRDefault="00170C6E">
            <w:pPr>
              <w:tabs>
                <w:tab w:val="left" w:pos="519"/>
              </w:tabs>
              <w:rPr>
                <w:rFonts w:ascii="Arial" w:eastAsia="Arial" w:hAnsi="Arial" w:cs="Arial"/>
                <w:sz w:val="16"/>
                <w:szCs w:val="16"/>
              </w:rPr>
            </w:pPr>
          </w:p>
          <w:p w14:paraId="187CD463"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x ]</w:t>
            </w:r>
            <w:r>
              <w:rPr>
                <w:rFonts w:ascii="Arial" w:eastAsia="Arial" w:hAnsi="Arial" w:cs="Arial"/>
                <w:sz w:val="16"/>
                <w:szCs w:val="16"/>
              </w:rPr>
              <w:tab/>
              <w:t>See Security Policy</w:t>
            </w:r>
          </w:p>
          <w:p w14:paraId="07EC8F51" w14:textId="77777777" w:rsidR="00170C6E" w:rsidRDefault="00170C6E">
            <w:pPr>
              <w:tabs>
                <w:tab w:val="left" w:pos="519"/>
              </w:tabs>
              <w:rPr>
                <w:rFonts w:ascii="Arial" w:eastAsia="Arial" w:hAnsi="Arial" w:cs="Arial"/>
                <w:sz w:val="16"/>
                <w:szCs w:val="16"/>
              </w:rPr>
            </w:pPr>
          </w:p>
          <w:p w14:paraId="1942D67E"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Pseudonymization and encryption of personal data:</w:t>
            </w:r>
            <w:r>
              <w:rPr>
                <w:rFonts w:ascii="Arial" w:eastAsia="Arial" w:hAnsi="Arial" w:cs="Arial"/>
                <w:sz w:val="16"/>
                <w:szCs w:val="16"/>
              </w:rPr>
              <w:t xml:space="preserve"> </w:t>
            </w:r>
          </w:p>
          <w:p w14:paraId="342B5EDD"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7EE31BDF" w14:textId="77777777" w:rsidR="00170C6E" w:rsidRDefault="00170C6E">
            <w:pPr>
              <w:tabs>
                <w:tab w:val="left" w:pos="519"/>
              </w:tabs>
              <w:rPr>
                <w:rFonts w:ascii="Arial" w:eastAsia="Arial" w:hAnsi="Arial" w:cs="Arial"/>
                <w:sz w:val="16"/>
                <w:szCs w:val="16"/>
              </w:rPr>
            </w:pPr>
          </w:p>
          <w:p w14:paraId="69B1472D"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Ensuring ongoing confidentiality, integrity, availability, and resilience of processing systems and services:</w:t>
            </w:r>
            <w:r>
              <w:rPr>
                <w:rFonts w:ascii="Arial" w:eastAsia="Arial" w:hAnsi="Arial" w:cs="Arial"/>
                <w:sz w:val="16"/>
                <w:szCs w:val="16"/>
              </w:rPr>
              <w:t xml:space="preserve"> </w:t>
            </w:r>
          </w:p>
          <w:p w14:paraId="51046B4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31946C25" w14:textId="77777777" w:rsidR="00170C6E" w:rsidRDefault="00170C6E">
            <w:pPr>
              <w:tabs>
                <w:tab w:val="left" w:pos="519"/>
              </w:tabs>
              <w:rPr>
                <w:rFonts w:ascii="Arial" w:eastAsia="Arial" w:hAnsi="Arial" w:cs="Arial"/>
                <w:color w:val="8C8D8E"/>
                <w:sz w:val="18"/>
                <w:szCs w:val="18"/>
              </w:rPr>
            </w:pPr>
          </w:p>
          <w:p w14:paraId="260589C1"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Ability to restore the availability of and access to Customer Personal Data in a timely manner following a physical or technical incident:</w:t>
            </w:r>
            <w:r>
              <w:rPr>
                <w:rFonts w:ascii="Arial" w:eastAsia="Arial" w:hAnsi="Arial" w:cs="Arial"/>
                <w:sz w:val="16"/>
                <w:szCs w:val="16"/>
              </w:rPr>
              <w:t xml:space="preserve"> </w:t>
            </w:r>
          </w:p>
          <w:p w14:paraId="3D828170"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52AC74BC" w14:textId="77777777" w:rsidR="00170C6E" w:rsidRDefault="00170C6E">
            <w:pPr>
              <w:tabs>
                <w:tab w:val="left" w:pos="519"/>
              </w:tabs>
              <w:rPr>
                <w:rFonts w:ascii="Arial" w:eastAsia="Arial" w:hAnsi="Arial" w:cs="Arial"/>
                <w:color w:val="8C8D8E"/>
                <w:sz w:val="18"/>
                <w:szCs w:val="18"/>
              </w:rPr>
            </w:pPr>
          </w:p>
          <w:p w14:paraId="3D074257"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Regular testing, assessment, and evaluation of the effectiveness of technical and organizational measures used to secure Processing:</w:t>
            </w:r>
            <w:r>
              <w:rPr>
                <w:rFonts w:ascii="Arial" w:eastAsia="Arial" w:hAnsi="Arial" w:cs="Arial"/>
                <w:sz w:val="16"/>
                <w:szCs w:val="16"/>
              </w:rPr>
              <w:t xml:space="preserve"> </w:t>
            </w:r>
          </w:p>
          <w:p w14:paraId="5A88C89D"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4C85140A" w14:textId="77777777" w:rsidR="00170C6E" w:rsidRDefault="00170C6E">
            <w:pPr>
              <w:tabs>
                <w:tab w:val="left" w:pos="519"/>
              </w:tabs>
              <w:rPr>
                <w:rFonts w:ascii="Arial" w:eastAsia="Arial" w:hAnsi="Arial" w:cs="Arial"/>
                <w:color w:val="8C8D8E"/>
                <w:sz w:val="18"/>
                <w:szCs w:val="18"/>
              </w:rPr>
            </w:pPr>
          </w:p>
          <w:p w14:paraId="285E97C7"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User identification and authorization process and protection:</w:t>
            </w:r>
            <w:r>
              <w:rPr>
                <w:rFonts w:ascii="Arial" w:eastAsia="Arial" w:hAnsi="Arial" w:cs="Arial"/>
                <w:sz w:val="16"/>
                <w:szCs w:val="16"/>
              </w:rPr>
              <w:t xml:space="preserve"> </w:t>
            </w:r>
          </w:p>
          <w:p w14:paraId="4FF18675"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7FC0162F" w14:textId="77777777" w:rsidR="00170C6E" w:rsidRDefault="00170C6E">
            <w:pPr>
              <w:tabs>
                <w:tab w:val="left" w:pos="519"/>
              </w:tabs>
              <w:rPr>
                <w:rFonts w:ascii="Arial" w:eastAsia="Arial" w:hAnsi="Arial" w:cs="Arial"/>
                <w:color w:val="8C8D8E"/>
                <w:sz w:val="18"/>
                <w:szCs w:val="18"/>
              </w:rPr>
            </w:pPr>
          </w:p>
          <w:p w14:paraId="0720078F"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Protecting Customer Personal Data during transmission (in transit):</w:t>
            </w:r>
            <w:r>
              <w:rPr>
                <w:rFonts w:ascii="Arial" w:eastAsia="Arial" w:hAnsi="Arial" w:cs="Arial"/>
                <w:sz w:val="16"/>
                <w:szCs w:val="16"/>
              </w:rPr>
              <w:t xml:space="preserve"> </w:t>
            </w:r>
          </w:p>
          <w:p w14:paraId="72CE9D70"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7B7ABD22" w14:textId="77777777" w:rsidR="00170C6E" w:rsidRDefault="00170C6E">
            <w:pPr>
              <w:tabs>
                <w:tab w:val="left" w:pos="519"/>
              </w:tabs>
              <w:rPr>
                <w:rFonts w:ascii="Arial" w:eastAsia="Arial" w:hAnsi="Arial" w:cs="Arial"/>
                <w:color w:val="8C8D8E"/>
                <w:sz w:val="18"/>
                <w:szCs w:val="18"/>
              </w:rPr>
            </w:pPr>
          </w:p>
          <w:p w14:paraId="2EB6AD53"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Protecting Customer Personal Data during storage (at rest):</w:t>
            </w:r>
            <w:r>
              <w:rPr>
                <w:rFonts w:ascii="Arial" w:eastAsia="Arial" w:hAnsi="Arial" w:cs="Arial"/>
                <w:sz w:val="16"/>
                <w:szCs w:val="16"/>
              </w:rPr>
              <w:t xml:space="preserve"> </w:t>
            </w:r>
          </w:p>
          <w:p w14:paraId="31241940"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50E98CC2" w14:textId="77777777" w:rsidR="00170C6E" w:rsidRDefault="00170C6E">
            <w:pPr>
              <w:tabs>
                <w:tab w:val="left" w:pos="519"/>
              </w:tabs>
              <w:rPr>
                <w:rFonts w:ascii="Arial" w:eastAsia="Arial" w:hAnsi="Arial" w:cs="Arial"/>
                <w:color w:val="8C8D8E"/>
                <w:sz w:val="18"/>
                <w:szCs w:val="18"/>
              </w:rPr>
            </w:pPr>
          </w:p>
          <w:p w14:paraId="2AC9C685"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Physical security where Customer Personal Data is processed:</w:t>
            </w:r>
            <w:r>
              <w:rPr>
                <w:rFonts w:ascii="Arial" w:eastAsia="Arial" w:hAnsi="Arial" w:cs="Arial"/>
                <w:sz w:val="16"/>
                <w:szCs w:val="16"/>
              </w:rPr>
              <w:t xml:space="preserve"> </w:t>
            </w:r>
          </w:p>
          <w:p w14:paraId="19D1A034"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19FBB419" w14:textId="77777777" w:rsidR="00170C6E" w:rsidRDefault="00170C6E">
            <w:pPr>
              <w:tabs>
                <w:tab w:val="left" w:pos="519"/>
              </w:tabs>
              <w:rPr>
                <w:rFonts w:ascii="Arial" w:eastAsia="Arial" w:hAnsi="Arial" w:cs="Arial"/>
                <w:color w:val="8C8D8E"/>
                <w:sz w:val="18"/>
                <w:szCs w:val="18"/>
              </w:rPr>
            </w:pPr>
          </w:p>
          <w:p w14:paraId="6838E850"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Events logging:</w:t>
            </w:r>
            <w:r>
              <w:rPr>
                <w:rFonts w:ascii="Arial" w:eastAsia="Arial" w:hAnsi="Arial" w:cs="Arial"/>
                <w:sz w:val="16"/>
                <w:szCs w:val="16"/>
              </w:rPr>
              <w:t xml:space="preserve"> </w:t>
            </w:r>
          </w:p>
          <w:p w14:paraId="6A353EF8"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17BD9E3E" w14:textId="77777777" w:rsidR="00170C6E" w:rsidRDefault="00170C6E">
            <w:pPr>
              <w:tabs>
                <w:tab w:val="left" w:pos="519"/>
              </w:tabs>
              <w:rPr>
                <w:rFonts w:ascii="Arial" w:eastAsia="Arial" w:hAnsi="Arial" w:cs="Arial"/>
                <w:color w:val="8C8D8E"/>
                <w:sz w:val="18"/>
                <w:szCs w:val="18"/>
              </w:rPr>
            </w:pPr>
          </w:p>
          <w:p w14:paraId="606C6472"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Systems configuration, including default configuration:</w:t>
            </w:r>
            <w:r>
              <w:rPr>
                <w:rFonts w:ascii="Arial" w:eastAsia="Arial" w:hAnsi="Arial" w:cs="Arial"/>
                <w:sz w:val="16"/>
                <w:szCs w:val="16"/>
              </w:rPr>
              <w:t xml:space="preserve"> </w:t>
            </w:r>
          </w:p>
          <w:p w14:paraId="395664E6"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42698C38" w14:textId="77777777" w:rsidR="00170C6E" w:rsidRDefault="00170C6E">
            <w:pPr>
              <w:tabs>
                <w:tab w:val="left" w:pos="519"/>
              </w:tabs>
              <w:rPr>
                <w:rFonts w:ascii="Arial" w:eastAsia="Arial" w:hAnsi="Arial" w:cs="Arial"/>
                <w:color w:val="8C8D8E"/>
                <w:sz w:val="18"/>
                <w:szCs w:val="18"/>
              </w:rPr>
            </w:pPr>
          </w:p>
          <w:p w14:paraId="663510D1"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Internal IT and IT security governance and management:</w:t>
            </w:r>
            <w:r>
              <w:rPr>
                <w:rFonts w:ascii="Arial" w:eastAsia="Arial" w:hAnsi="Arial" w:cs="Arial"/>
                <w:sz w:val="16"/>
                <w:szCs w:val="16"/>
              </w:rPr>
              <w:t xml:space="preserve"> </w:t>
            </w:r>
          </w:p>
          <w:p w14:paraId="1CD2FEEA"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658A1A71" w14:textId="77777777" w:rsidR="00170C6E" w:rsidRDefault="00170C6E">
            <w:pPr>
              <w:tabs>
                <w:tab w:val="left" w:pos="519"/>
              </w:tabs>
              <w:rPr>
                <w:rFonts w:ascii="Arial" w:eastAsia="Arial" w:hAnsi="Arial" w:cs="Arial"/>
                <w:color w:val="8C8D8E"/>
                <w:sz w:val="18"/>
                <w:szCs w:val="18"/>
              </w:rPr>
            </w:pPr>
          </w:p>
          <w:p w14:paraId="7E254D2B"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Certification or assurance of processes and products:</w:t>
            </w:r>
            <w:r>
              <w:rPr>
                <w:rFonts w:ascii="Arial" w:eastAsia="Arial" w:hAnsi="Arial" w:cs="Arial"/>
                <w:sz w:val="16"/>
                <w:szCs w:val="16"/>
              </w:rPr>
              <w:t xml:space="preserve"> </w:t>
            </w:r>
          </w:p>
          <w:p w14:paraId="780E6EF1"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5CC30B36" w14:textId="77777777" w:rsidR="00170C6E" w:rsidRDefault="00170C6E">
            <w:pPr>
              <w:tabs>
                <w:tab w:val="left" w:pos="519"/>
              </w:tabs>
              <w:rPr>
                <w:rFonts w:ascii="Arial" w:eastAsia="Arial" w:hAnsi="Arial" w:cs="Arial"/>
                <w:color w:val="8C8D8E"/>
                <w:sz w:val="18"/>
                <w:szCs w:val="18"/>
              </w:rPr>
            </w:pPr>
          </w:p>
          <w:p w14:paraId="4191F39A"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Ensuring data minimization:</w:t>
            </w:r>
            <w:r>
              <w:rPr>
                <w:rFonts w:ascii="Arial" w:eastAsia="Arial" w:hAnsi="Arial" w:cs="Arial"/>
                <w:sz w:val="16"/>
                <w:szCs w:val="16"/>
              </w:rPr>
              <w:t xml:space="preserve"> </w:t>
            </w:r>
          </w:p>
          <w:p w14:paraId="173B44BF"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57C91925" w14:textId="77777777" w:rsidR="00170C6E" w:rsidRDefault="00170C6E">
            <w:pPr>
              <w:tabs>
                <w:tab w:val="left" w:pos="519"/>
              </w:tabs>
              <w:rPr>
                <w:rFonts w:ascii="Arial" w:eastAsia="Arial" w:hAnsi="Arial" w:cs="Arial"/>
                <w:color w:val="8C8D8E"/>
                <w:sz w:val="18"/>
                <w:szCs w:val="18"/>
              </w:rPr>
            </w:pPr>
          </w:p>
          <w:p w14:paraId="58D67E66"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lastRenderedPageBreak/>
              <w:t>[    ]</w:t>
            </w:r>
            <w:r>
              <w:rPr>
                <w:rFonts w:ascii="Arial" w:eastAsia="Arial" w:hAnsi="Arial" w:cs="Arial"/>
                <w:sz w:val="16"/>
                <w:szCs w:val="16"/>
              </w:rPr>
              <w:tab/>
            </w:r>
            <w:r>
              <w:rPr>
                <w:rFonts w:ascii="Arial" w:eastAsia="Arial" w:hAnsi="Arial" w:cs="Arial"/>
                <w:b/>
                <w:sz w:val="16"/>
                <w:szCs w:val="16"/>
              </w:rPr>
              <w:t>Ensuring data quality:</w:t>
            </w:r>
            <w:r>
              <w:rPr>
                <w:rFonts w:ascii="Arial" w:eastAsia="Arial" w:hAnsi="Arial" w:cs="Arial"/>
                <w:sz w:val="16"/>
                <w:szCs w:val="16"/>
              </w:rPr>
              <w:t xml:space="preserve"> </w:t>
            </w:r>
          </w:p>
          <w:p w14:paraId="37BC06B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435A7764" w14:textId="77777777" w:rsidR="00170C6E" w:rsidRDefault="00170C6E">
            <w:pPr>
              <w:tabs>
                <w:tab w:val="left" w:pos="519"/>
              </w:tabs>
              <w:rPr>
                <w:rFonts w:ascii="Arial" w:eastAsia="Arial" w:hAnsi="Arial" w:cs="Arial"/>
                <w:color w:val="8C8D8E"/>
                <w:sz w:val="18"/>
                <w:szCs w:val="18"/>
              </w:rPr>
            </w:pPr>
          </w:p>
          <w:p w14:paraId="00A31A2A"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Ensuring limited data retention:</w:t>
            </w:r>
            <w:r>
              <w:rPr>
                <w:rFonts w:ascii="Arial" w:eastAsia="Arial" w:hAnsi="Arial" w:cs="Arial"/>
                <w:sz w:val="16"/>
                <w:szCs w:val="16"/>
              </w:rPr>
              <w:t xml:space="preserve"> </w:t>
            </w:r>
          </w:p>
          <w:p w14:paraId="0C2F60C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10A06985" w14:textId="77777777" w:rsidR="00170C6E" w:rsidRDefault="00170C6E">
            <w:pPr>
              <w:tabs>
                <w:tab w:val="left" w:pos="519"/>
              </w:tabs>
              <w:rPr>
                <w:rFonts w:ascii="Arial" w:eastAsia="Arial" w:hAnsi="Arial" w:cs="Arial"/>
                <w:color w:val="8C8D8E"/>
                <w:sz w:val="18"/>
                <w:szCs w:val="18"/>
              </w:rPr>
            </w:pPr>
          </w:p>
          <w:p w14:paraId="74FCCD45"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Ensuring accountability:</w:t>
            </w:r>
            <w:r>
              <w:rPr>
                <w:rFonts w:ascii="Arial" w:eastAsia="Arial" w:hAnsi="Arial" w:cs="Arial"/>
                <w:sz w:val="16"/>
                <w:szCs w:val="16"/>
              </w:rPr>
              <w:t xml:space="preserve"> </w:t>
            </w:r>
          </w:p>
          <w:p w14:paraId="215BD03C"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p w14:paraId="5A5048C4" w14:textId="77777777" w:rsidR="00170C6E" w:rsidRDefault="00170C6E">
            <w:pPr>
              <w:tabs>
                <w:tab w:val="left" w:pos="519"/>
              </w:tabs>
              <w:rPr>
                <w:rFonts w:ascii="Arial" w:eastAsia="Arial" w:hAnsi="Arial" w:cs="Arial"/>
                <w:color w:val="8C8D8E"/>
                <w:sz w:val="18"/>
                <w:szCs w:val="18"/>
              </w:rPr>
            </w:pPr>
          </w:p>
          <w:p w14:paraId="55045F2B" w14:textId="77777777" w:rsidR="00170C6E" w:rsidRDefault="00000000">
            <w:pPr>
              <w:tabs>
                <w:tab w:val="left" w:pos="519"/>
              </w:tabs>
              <w:ind w:left="520" w:hanging="520"/>
              <w:rPr>
                <w:rFonts w:ascii="Arial" w:eastAsia="Arial" w:hAnsi="Arial" w:cs="Arial"/>
                <w:sz w:val="16"/>
                <w:szCs w:val="16"/>
              </w:rPr>
            </w:pPr>
            <w:r>
              <w:rPr>
                <w:rFonts w:ascii="Arial" w:eastAsia="Arial" w:hAnsi="Arial" w:cs="Arial"/>
                <w:sz w:val="16"/>
                <w:szCs w:val="16"/>
              </w:rPr>
              <w:t>[    ]</w:t>
            </w:r>
            <w:r>
              <w:rPr>
                <w:rFonts w:ascii="Arial" w:eastAsia="Arial" w:hAnsi="Arial" w:cs="Arial"/>
                <w:sz w:val="16"/>
                <w:szCs w:val="16"/>
              </w:rPr>
              <w:tab/>
            </w:r>
            <w:r>
              <w:rPr>
                <w:rFonts w:ascii="Arial" w:eastAsia="Arial" w:hAnsi="Arial" w:cs="Arial"/>
                <w:b/>
                <w:sz w:val="16"/>
                <w:szCs w:val="16"/>
              </w:rPr>
              <w:t>Allowing data portability and ensuring erasure:</w:t>
            </w:r>
            <w:r>
              <w:rPr>
                <w:rFonts w:ascii="Arial" w:eastAsia="Arial" w:hAnsi="Arial" w:cs="Arial"/>
                <w:sz w:val="16"/>
                <w:szCs w:val="16"/>
              </w:rPr>
              <w:t xml:space="preserve"> </w:t>
            </w:r>
          </w:p>
          <w:p w14:paraId="23C3D7E7" w14:textId="77777777" w:rsidR="00170C6E" w:rsidRDefault="00000000">
            <w:pPr>
              <w:tabs>
                <w:tab w:val="left" w:pos="519"/>
              </w:tabs>
              <w:rPr>
                <w:rFonts w:ascii="Arial" w:eastAsia="Arial" w:hAnsi="Arial" w:cs="Arial"/>
                <w:sz w:val="16"/>
                <w:szCs w:val="16"/>
              </w:rPr>
            </w:pPr>
            <w:r>
              <w:rPr>
                <w:rFonts w:ascii="Arial" w:eastAsia="Arial" w:hAnsi="Arial" w:cs="Arial"/>
                <w:sz w:val="16"/>
                <w:szCs w:val="16"/>
              </w:rPr>
              <w:tab/>
              <w:t>{security_measures}</w:t>
            </w:r>
          </w:p>
        </w:tc>
      </w:tr>
    </w:tbl>
    <w:p w14:paraId="18B0E3C0" w14:textId="77777777" w:rsidR="00170C6E" w:rsidRDefault="00170C6E">
      <w:pPr>
        <w:rPr>
          <w:rFonts w:ascii="Arial" w:eastAsia="Arial" w:hAnsi="Arial" w:cs="Arial"/>
          <w:sz w:val="16"/>
          <w:szCs w:val="16"/>
        </w:rPr>
      </w:pPr>
    </w:p>
    <w:p w14:paraId="551DED74" w14:textId="77777777" w:rsidR="00170C6E" w:rsidRDefault="00000000">
      <w:pPr>
        <w:keepNext/>
        <w:keepLines/>
        <w:rPr>
          <w:rFonts w:ascii="Arial" w:eastAsia="Arial" w:hAnsi="Arial" w:cs="Arial"/>
          <w:sz w:val="18"/>
          <w:szCs w:val="18"/>
        </w:rPr>
      </w:pPr>
      <w:r>
        <w:rPr>
          <w:rFonts w:ascii="Arial" w:eastAsia="Arial" w:hAnsi="Arial" w:cs="Arial"/>
          <w:sz w:val="18"/>
          <w:szCs w:val="18"/>
        </w:rPr>
        <w:t>Provider and Customer have not changed the DPA Standard Terms except for the details on the Cover Page above. By signing this Cover Page, each party agrees to enter into this DPA as of the last date of signature below.</w:t>
      </w:r>
    </w:p>
    <w:tbl>
      <w:tblPr>
        <w:tblStyle w:val="a6"/>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170C6E" w14:paraId="3122472A" w14:textId="77777777">
        <w:tc>
          <w:tcPr>
            <w:tcW w:w="2605" w:type="dxa"/>
            <w:tcMar>
              <w:top w:w="216" w:type="dxa"/>
              <w:left w:w="115" w:type="dxa"/>
              <w:bottom w:w="216" w:type="dxa"/>
              <w:right w:w="115" w:type="dxa"/>
            </w:tcMar>
            <w:vAlign w:val="center"/>
          </w:tcPr>
          <w:p w14:paraId="782B5786" w14:textId="77777777" w:rsidR="00170C6E" w:rsidRDefault="00170C6E">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31C9AE76" w14:textId="77777777" w:rsidR="00170C6E"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{provider_signatory_company}</w:t>
            </w:r>
          </w:p>
        </w:tc>
        <w:tc>
          <w:tcPr>
            <w:tcW w:w="250" w:type="dxa"/>
            <w:tcMar>
              <w:top w:w="216" w:type="dxa"/>
              <w:left w:w="115" w:type="dxa"/>
              <w:bottom w:w="216" w:type="dxa"/>
              <w:right w:w="115" w:type="dxa"/>
            </w:tcMar>
            <w:vAlign w:val="center"/>
          </w:tcPr>
          <w:p w14:paraId="2136A53C" w14:textId="77777777" w:rsidR="00170C6E" w:rsidRDefault="00170C6E">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486DA365" w14:textId="77777777" w:rsidR="00170C6E"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{customer_signatory_company}</w:t>
            </w:r>
          </w:p>
        </w:tc>
      </w:tr>
      <w:tr w:rsidR="00170C6E" w14:paraId="1EF60367" w14:textId="77777777">
        <w:tc>
          <w:tcPr>
            <w:tcW w:w="2605" w:type="dxa"/>
            <w:tcMar>
              <w:top w:w="216" w:type="dxa"/>
              <w:left w:w="115" w:type="dxa"/>
              <w:bottom w:w="216" w:type="dxa"/>
              <w:right w:w="115" w:type="dxa"/>
            </w:tcMar>
            <w:vAlign w:val="center"/>
          </w:tcPr>
          <w:p w14:paraId="0B10D833" w14:textId="77777777" w:rsidR="00170C6E"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042CA03" w14:textId="77777777" w:rsidR="00170C6E" w:rsidRDefault="00170C6E">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D4C926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D988368" w14:textId="77777777" w:rsidR="00170C6E" w:rsidRDefault="00170C6E">
            <w:pPr>
              <w:keepNext/>
              <w:keepLines/>
              <w:rPr>
                <w:rFonts w:ascii="Arial" w:eastAsia="Arial" w:hAnsi="Arial" w:cs="Arial"/>
                <w:sz w:val="18"/>
                <w:szCs w:val="18"/>
              </w:rPr>
            </w:pPr>
          </w:p>
        </w:tc>
      </w:tr>
      <w:tr w:rsidR="00170C6E" w14:paraId="69E19D3A" w14:textId="77777777">
        <w:tc>
          <w:tcPr>
            <w:tcW w:w="2605" w:type="dxa"/>
            <w:tcMar>
              <w:top w:w="216" w:type="dxa"/>
              <w:left w:w="115" w:type="dxa"/>
              <w:bottom w:w="216" w:type="dxa"/>
              <w:right w:w="115" w:type="dxa"/>
            </w:tcMar>
            <w:vAlign w:val="center"/>
          </w:tcPr>
          <w:p w14:paraId="5EED38FE" w14:textId="77777777" w:rsidR="00170C6E"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DB0596A" w14:textId="77777777" w:rsidR="00170C6E" w:rsidRDefault="00170C6E">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1631BFE"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23582A4" w14:textId="77777777" w:rsidR="00170C6E" w:rsidRDefault="00170C6E">
            <w:pPr>
              <w:keepNext/>
              <w:keepLines/>
              <w:rPr>
                <w:rFonts w:ascii="Arial" w:eastAsia="Arial" w:hAnsi="Arial" w:cs="Arial"/>
                <w:sz w:val="18"/>
                <w:szCs w:val="18"/>
              </w:rPr>
            </w:pPr>
            <w:r>
              <w:rPr>
                <w:rFonts w:ascii="Arial" w:eastAsia="Arial" w:hAnsi="Arial" w:cs="Arial"/>
                <w:sz w:val="18"/>
                <w:szCs w:val="18"/>
              </w:rPr>
              <w:t>{customer_signatory_name}</w:t>
            </w:r>
          </w:p>
        </w:tc>
      </w:tr>
      <w:tr w:rsidR="00170C6E" w14:paraId="0FC0931E" w14:textId="77777777">
        <w:tc>
          <w:tcPr>
            <w:tcW w:w="2605" w:type="dxa"/>
            <w:tcMar>
              <w:top w:w="216" w:type="dxa"/>
              <w:left w:w="115" w:type="dxa"/>
              <w:bottom w:w="216" w:type="dxa"/>
              <w:right w:w="115" w:type="dxa"/>
            </w:tcMar>
            <w:vAlign w:val="center"/>
          </w:tcPr>
          <w:p w14:paraId="0F59A299" w14:textId="77777777" w:rsidR="00170C6E"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CBF89F7" w14:textId="77777777" w:rsidR="00170C6E" w:rsidRDefault="00170C6E">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5B1CC66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79F38EF7" w14:textId="77777777" w:rsidR="00170C6E" w:rsidRDefault="00170C6E">
            <w:pPr>
              <w:keepNext/>
              <w:keepLines/>
              <w:rPr>
                <w:rFonts w:ascii="Arial" w:eastAsia="Arial" w:hAnsi="Arial" w:cs="Arial"/>
                <w:sz w:val="18"/>
                <w:szCs w:val="18"/>
              </w:rPr>
            </w:pPr>
            <w:r>
              <w:rPr>
                <w:rFonts w:ascii="Arial" w:eastAsia="Arial" w:hAnsi="Arial" w:cs="Arial"/>
                <w:sz w:val="18"/>
                <w:szCs w:val="18"/>
              </w:rPr>
              <w:t>{customer_signatory_title_display}</w:t>
            </w:r>
          </w:p>
        </w:tc>
      </w:tr>
      <w:tr w:rsidR="00170C6E" w14:paraId="76CE32C7" w14:textId="77777777">
        <w:tc>
          <w:tcPr>
            <w:tcW w:w="2605" w:type="dxa"/>
            <w:tcMar>
              <w:top w:w="216" w:type="dxa"/>
              <w:left w:w="115" w:type="dxa"/>
              <w:bottom w:w="216" w:type="dxa"/>
              <w:right w:w="115" w:type="dxa"/>
            </w:tcMar>
            <w:vAlign w:val="center"/>
          </w:tcPr>
          <w:p w14:paraId="69D8A343" w14:textId="77777777" w:rsidR="00170C6E"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6FC387A" w14:textId="77777777" w:rsidR="00170C6E" w:rsidRDefault="00170C6E">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50F72D2" w14:textId="77777777" w:rsidR="00170C6E" w:rsidRDefault="00170C6E">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CB4953E" w14:textId="77777777" w:rsidR="00170C6E" w:rsidRDefault="00170C6E">
            <w:pPr>
              <w:keepNext/>
              <w:keepLines/>
              <w:rPr>
                <w:rFonts w:ascii="Arial" w:eastAsia="Arial" w:hAnsi="Arial" w:cs="Arial"/>
                <w:sz w:val="18"/>
                <w:szCs w:val="18"/>
              </w:rPr>
            </w:pPr>
          </w:p>
        </w:tc>
      </w:tr>
    </w:tbl>
    <w:p w14:paraId="5F7EF287" w14:textId="77777777" w:rsidR="00170C6E" w:rsidRDefault="00170C6E">
      <w:pPr>
        <w:rPr>
          <w:rFonts w:ascii="Arial" w:eastAsia="Arial" w:hAnsi="Arial" w:cs="Arial"/>
          <w:sz w:val="16"/>
          <w:szCs w:val="16"/>
        </w:rPr>
        <w:sectPr w:rsidR="00170C6E">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080" w:header="360" w:footer="432" w:gutter="0"/>
          <w:pgNumType w:start="1"/>
          <w:cols w:space="720"/>
        </w:sectPr>
      </w:pPr>
    </w:p>
    <w:p w14:paraId="242B1703"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color w:val="000000"/>
          <w:sz w:val="16"/>
          <w:szCs w:val="16"/>
        </w:rPr>
      </w:pPr>
      <w:r>
        <w:rPr>
          <w:rFonts w:ascii="Arial" w:eastAsia="Arial" w:hAnsi="Arial" w:cs="Arial"/>
          <w:b/>
          <w:color w:val="000000"/>
          <w:sz w:val="16"/>
          <w:szCs w:val="16"/>
        </w:rPr>
        <w:lastRenderedPageBreak/>
        <w:t>Processor and Subprocessor Relationships</w:t>
      </w:r>
    </w:p>
    <w:p w14:paraId="241E8C22"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Provider as Processor</w:t>
      </w:r>
      <w:r>
        <w:rPr>
          <w:rFonts w:ascii="Arial" w:eastAsia="Arial" w:hAnsi="Arial" w:cs="Arial"/>
          <w:color w:val="000000"/>
          <w:sz w:val="16"/>
          <w:szCs w:val="16"/>
        </w:rPr>
        <w:t xml:space="preserve">.  In situations where </w:t>
      </w:r>
      <w:r>
        <w:rPr>
          <w:rFonts w:ascii="Arial" w:eastAsia="Arial" w:hAnsi="Arial" w:cs="Arial"/>
          <w:b/>
          <w:color w:val="107087"/>
          <w:sz w:val="16"/>
          <w:szCs w:val="16"/>
        </w:rPr>
        <w:t>Customer</w:t>
      </w:r>
      <w:r>
        <w:rPr>
          <w:rFonts w:ascii="Arial" w:eastAsia="Arial" w:hAnsi="Arial" w:cs="Arial"/>
          <w:color w:val="107087"/>
          <w:sz w:val="16"/>
          <w:szCs w:val="16"/>
        </w:rPr>
        <w:t xml:space="preserve"> </w:t>
      </w:r>
      <w:r>
        <w:rPr>
          <w:rFonts w:ascii="Arial" w:eastAsia="Arial" w:hAnsi="Arial" w:cs="Arial"/>
          <w:color w:val="000000"/>
          <w:sz w:val="16"/>
          <w:szCs w:val="16"/>
        </w:rPr>
        <w:t xml:space="preserve">is a Controller of the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be deemed a Processor that is Processing Personal Data on behalf of </w:t>
      </w:r>
      <w:r>
        <w:rPr>
          <w:rFonts w:ascii="Arial" w:eastAsia="Arial" w:hAnsi="Arial" w:cs="Arial"/>
          <w:b/>
          <w:color w:val="107087"/>
          <w:sz w:val="16"/>
          <w:szCs w:val="16"/>
        </w:rPr>
        <w:t>Customer</w:t>
      </w:r>
      <w:r>
        <w:rPr>
          <w:rFonts w:ascii="Arial" w:eastAsia="Arial" w:hAnsi="Arial" w:cs="Arial"/>
          <w:color w:val="000000"/>
          <w:sz w:val="16"/>
          <w:szCs w:val="16"/>
        </w:rPr>
        <w:t xml:space="preserve">. </w:t>
      </w:r>
    </w:p>
    <w:p w14:paraId="42F2B71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Provider as Subprocessor</w:t>
      </w:r>
      <w:r>
        <w:rPr>
          <w:rFonts w:ascii="Arial" w:eastAsia="Arial" w:hAnsi="Arial" w:cs="Arial"/>
          <w:color w:val="000000"/>
          <w:sz w:val="16"/>
          <w:szCs w:val="16"/>
        </w:rPr>
        <w:t xml:space="preserve">.  In situations where </w:t>
      </w:r>
      <w:r>
        <w:rPr>
          <w:rFonts w:ascii="Arial" w:eastAsia="Arial" w:hAnsi="Arial" w:cs="Arial"/>
          <w:b/>
          <w:color w:val="107087"/>
          <w:sz w:val="16"/>
          <w:szCs w:val="16"/>
        </w:rPr>
        <w:t>Customer</w:t>
      </w:r>
      <w:r>
        <w:rPr>
          <w:rFonts w:ascii="Arial" w:eastAsia="Arial" w:hAnsi="Arial" w:cs="Arial"/>
          <w:color w:val="000000"/>
          <w:sz w:val="16"/>
          <w:szCs w:val="16"/>
        </w:rPr>
        <w:t xml:space="preserve"> is a Processor of the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be deemed a Subprocessor of the Customer Personal Data. </w:t>
      </w:r>
    </w:p>
    <w:p w14:paraId="7467A74D"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Processing</w:t>
      </w:r>
    </w:p>
    <w:p w14:paraId="478A380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Processing Details</w:t>
      </w:r>
      <w:r>
        <w:rPr>
          <w:rFonts w:ascii="Arial" w:eastAsia="Arial" w:hAnsi="Arial" w:cs="Arial"/>
          <w:color w:val="000000"/>
          <w:sz w:val="16"/>
          <w:szCs w:val="16"/>
        </w:rPr>
        <w:t xml:space="preserve">. Annex I(B) on the Cover Page describes the subject matter, nature, purpose, and duration of this Processing, as well as the </w:t>
      </w:r>
      <w:r>
        <w:rPr>
          <w:rFonts w:ascii="Arial" w:eastAsia="Arial" w:hAnsi="Arial" w:cs="Arial"/>
          <w:b/>
          <w:color w:val="107087"/>
          <w:sz w:val="16"/>
          <w:szCs w:val="16"/>
        </w:rPr>
        <w:t>Categories</w:t>
      </w:r>
      <w:r>
        <w:rPr>
          <w:rFonts w:ascii="Arial" w:eastAsia="Arial" w:hAnsi="Arial" w:cs="Arial"/>
          <w:b/>
          <w:color w:val="000000"/>
          <w:sz w:val="16"/>
          <w:szCs w:val="16"/>
        </w:rPr>
        <w:t xml:space="preserve"> </w:t>
      </w:r>
      <w:r>
        <w:rPr>
          <w:rFonts w:ascii="Arial" w:eastAsia="Arial" w:hAnsi="Arial" w:cs="Arial"/>
          <w:b/>
          <w:color w:val="107087"/>
          <w:sz w:val="16"/>
          <w:szCs w:val="16"/>
        </w:rPr>
        <w:t>of</w:t>
      </w:r>
      <w:r>
        <w:rPr>
          <w:rFonts w:ascii="Arial" w:eastAsia="Arial" w:hAnsi="Arial" w:cs="Arial"/>
          <w:b/>
          <w:color w:val="000000"/>
          <w:sz w:val="16"/>
          <w:szCs w:val="16"/>
        </w:rPr>
        <w:t xml:space="preserve"> </w:t>
      </w:r>
      <w:r>
        <w:rPr>
          <w:rFonts w:ascii="Arial" w:eastAsia="Arial" w:hAnsi="Arial" w:cs="Arial"/>
          <w:b/>
          <w:color w:val="107087"/>
          <w:sz w:val="16"/>
          <w:szCs w:val="16"/>
        </w:rPr>
        <w:t>Personal</w:t>
      </w:r>
      <w:r>
        <w:rPr>
          <w:rFonts w:ascii="Arial" w:eastAsia="Arial" w:hAnsi="Arial" w:cs="Arial"/>
          <w:b/>
          <w:color w:val="000000"/>
          <w:sz w:val="16"/>
          <w:szCs w:val="16"/>
        </w:rPr>
        <w:t xml:space="preserve"> </w:t>
      </w:r>
      <w:r>
        <w:rPr>
          <w:rFonts w:ascii="Arial" w:eastAsia="Arial" w:hAnsi="Arial" w:cs="Arial"/>
          <w:b/>
          <w:color w:val="107087"/>
          <w:sz w:val="16"/>
          <w:szCs w:val="16"/>
        </w:rPr>
        <w:t>Data</w:t>
      </w:r>
      <w:r>
        <w:rPr>
          <w:rFonts w:ascii="Arial" w:eastAsia="Arial" w:hAnsi="Arial" w:cs="Arial"/>
          <w:color w:val="000000"/>
          <w:sz w:val="16"/>
          <w:szCs w:val="16"/>
        </w:rPr>
        <w:t xml:space="preserve"> collected and </w:t>
      </w:r>
      <w:r>
        <w:rPr>
          <w:rFonts w:ascii="Arial" w:eastAsia="Arial" w:hAnsi="Arial" w:cs="Arial"/>
          <w:b/>
          <w:color w:val="107087"/>
          <w:sz w:val="16"/>
          <w:szCs w:val="16"/>
        </w:rPr>
        <w:t>Categories of Data Subjects</w:t>
      </w:r>
      <w:r>
        <w:rPr>
          <w:rFonts w:ascii="Arial" w:eastAsia="Arial" w:hAnsi="Arial" w:cs="Arial"/>
          <w:color w:val="000000"/>
          <w:sz w:val="16"/>
          <w:szCs w:val="16"/>
        </w:rPr>
        <w:t xml:space="preserve">.  </w:t>
      </w:r>
    </w:p>
    <w:p w14:paraId="1C940C2F"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Processing Instructions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instructs </w:t>
      </w:r>
      <w:r>
        <w:rPr>
          <w:rFonts w:ascii="Arial" w:eastAsia="Arial" w:hAnsi="Arial" w:cs="Arial"/>
          <w:b/>
          <w:color w:val="107087"/>
          <w:sz w:val="16"/>
          <w:szCs w:val="16"/>
        </w:rPr>
        <w:t>Provider</w:t>
      </w:r>
      <w:r>
        <w:rPr>
          <w:rFonts w:ascii="Arial" w:eastAsia="Arial" w:hAnsi="Arial" w:cs="Arial"/>
          <w:color w:val="000000"/>
          <w:sz w:val="16"/>
          <w:szCs w:val="16"/>
        </w:rPr>
        <w:t xml:space="preserve"> to Process Customer Personal Data: (a) to provide and maintain the Service; (b) as may be further specified through </w:t>
      </w:r>
      <w:r>
        <w:rPr>
          <w:rFonts w:ascii="Arial" w:eastAsia="Arial" w:hAnsi="Arial" w:cs="Arial"/>
          <w:b/>
          <w:color w:val="107087"/>
          <w:sz w:val="16"/>
          <w:szCs w:val="16"/>
        </w:rPr>
        <w:t>Customer’s</w:t>
      </w:r>
      <w:r>
        <w:rPr>
          <w:rFonts w:ascii="Arial" w:eastAsia="Arial" w:hAnsi="Arial" w:cs="Arial"/>
          <w:color w:val="000000"/>
          <w:sz w:val="16"/>
          <w:szCs w:val="16"/>
        </w:rPr>
        <w:t xml:space="preserve"> use of the Service; (c) as documented in the </w:t>
      </w:r>
      <w:r>
        <w:rPr>
          <w:rFonts w:ascii="Arial" w:eastAsia="Arial" w:hAnsi="Arial" w:cs="Arial"/>
          <w:b/>
          <w:color w:val="107087"/>
          <w:sz w:val="16"/>
          <w:szCs w:val="16"/>
        </w:rPr>
        <w:t>Agreement</w:t>
      </w:r>
      <w:r>
        <w:rPr>
          <w:rFonts w:ascii="Arial" w:eastAsia="Arial" w:hAnsi="Arial" w:cs="Arial"/>
          <w:color w:val="000000"/>
          <w:sz w:val="16"/>
          <w:szCs w:val="16"/>
        </w:rPr>
        <w:t xml:space="preserve">; and (d) as documented in any other written instructions given by </w:t>
      </w:r>
      <w:r>
        <w:rPr>
          <w:rFonts w:ascii="Arial" w:eastAsia="Arial" w:hAnsi="Arial" w:cs="Arial"/>
          <w:b/>
          <w:color w:val="107087"/>
          <w:sz w:val="16"/>
          <w:szCs w:val="16"/>
        </w:rPr>
        <w:t>Customer</w:t>
      </w:r>
      <w:r>
        <w:rPr>
          <w:rFonts w:ascii="Arial" w:eastAsia="Arial" w:hAnsi="Arial" w:cs="Arial"/>
          <w:color w:val="000000"/>
          <w:sz w:val="16"/>
          <w:szCs w:val="16"/>
        </w:rPr>
        <w:t xml:space="preserve"> and acknowledged by </w:t>
      </w:r>
      <w:r>
        <w:rPr>
          <w:rFonts w:ascii="Arial" w:eastAsia="Arial" w:hAnsi="Arial" w:cs="Arial"/>
          <w:b/>
          <w:color w:val="107087"/>
          <w:sz w:val="16"/>
          <w:szCs w:val="16"/>
        </w:rPr>
        <w:t>Provider</w:t>
      </w:r>
      <w:r>
        <w:rPr>
          <w:rFonts w:ascii="Arial" w:eastAsia="Arial" w:hAnsi="Arial" w:cs="Arial"/>
          <w:color w:val="000000"/>
          <w:sz w:val="16"/>
          <w:szCs w:val="16"/>
        </w:rPr>
        <w:t xml:space="preserve"> about Processing Customer Personal Data under this DPA. </w:t>
      </w:r>
      <w:r>
        <w:rPr>
          <w:rFonts w:ascii="Arial" w:eastAsia="Arial" w:hAnsi="Arial" w:cs="Arial"/>
          <w:b/>
          <w:color w:val="107087"/>
          <w:sz w:val="16"/>
          <w:szCs w:val="16"/>
        </w:rPr>
        <w:t>Provider</w:t>
      </w:r>
      <w:r>
        <w:rPr>
          <w:rFonts w:ascii="Arial" w:eastAsia="Arial" w:hAnsi="Arial" w:cs="Arial"/>
          <w:color w:val="000000"/>
          <w:sz w:val="16"/>
          <w:szCs w:val="16"/>
        </w:rPr>
        <w:t xml:space="preserve"> will abide by these instructions unless prohibited from doing so by Applicable Laws. </w:t>
      </w:r>
      <w:r>
        <w:rPr>
          <w:rFonts w:ascii="Arial" w:eastAsia="Arial" w:hAnsi="Arial" w:cs="Arial"/>
          <w:b/>
          <w:color w:val="107087"/>
          <w:sz w:val="16"/>
          <w:szCs w:val="16"/>
        </w:rPr>
        <w:t>Provider</w:t>
      </w:r>
      <w:r>
        <w:rPr>
          <w:rFonts w:ascii="Arial" w:eastAsia="Arial" w:hAnsi="Arial" w:cs="Arial"/>
          <w:color w:val="000000"/>
          <w:sz w:val="16"/>
          <w:szCs w:val="16"/>
        </w:rPr>
        <w:t xml:space="preserve"> will immediately inform </w:t>
      </w:r>
      <w:r>
        <w:rPr>
          <w:rFonts w:ascii="Arial" w:eastAsia="Arial" w:hAnsi="Arial" w:cs="Arial"/>
          <w:b/>
          <w:color w:val="107087"/>
          <w:sz w:val="16"/>
          <w:szCs w:val="16"/>
        </w:rPr>
        <w:t>Customer</w:t>
      </w:r>
      <w:r>
        <w:rPr>
          <w:rFonts w:ascii="Arial" w:eastAsia="Arial" w:hAnsi="Arial" w:cs="Arial"/>
          <w:color w:val="000000"/>
          <w:sz w:val="16"/>
          <w:szCs w:val="16"/>
        </w:rPr>
        <w:t xml:space="preserve"> if it is unable to follow the Processing instructions. </w:t>
      </w:r>
      <w:r>
        <w:rPr>
          <w:rFonts w:ascii="Arial" w:eastAsia="Arial" w:hAnsi="Arial" w:cs="Arial"/>
          <w:b/>
          <w:color w:val="107087"/>
          <w:sz w:val="16"/>
          <w:szCs w:val="16"/>
        </w:rPr>
        <w:t>Customer</w:t>
      </w:r>
      <w:r>
        <w:rPr>
          <w:rFonts w:ascii="Arial" w:eastAsia="Arial" w:hAnsi="Arial" w:cs="Arial"/>
          <w:color w:val="000000"/>
          <w:sz w:val="16"/>
          <w:szCs w:val="16"/>
        </w:rPr>
        <w:t xml:space="preserve"> has given and will only give instructions that comply with Applicable Laws.</w:t>
      </w:r>
    </w:p>
    <w:p w14:paraId="76A41DE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Processing by Provider</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only Process Customer Personal Data in accordance with this DPA, including the details in the Cover Page. If </w:t>
      </w:r>
      <w:r>
        <w:rPr>
          <w:rFonts w:ascii="Arial" w:eastAsia="Arial" w:hAnsi="Arial" w:cs="Arial"/>
          <w:b/>
          <w:color w:val="107087"/>
          <w:sz w:val="16"/>
          <w:szCs w:val="16"/>
        </w:rPr>
        <w:t>Provider</w:t>
      </w:r>
      <w:r>
        <w:rPr>
          <w:rFonts w:ascii="Arial" w:eastAsia="Arial" w:hAnsi="Arial" w:cs="Arial"/>
          <w:color w:val="000000"/>
          <w:sz w:val="16"/>
          <w:szCs w:val="16"/>
        </w:rPr>
        <w:t xml:space="preserve"> updates the Service to update existing or include new products, features, or functionality, </w:t>
      </w:r>
      <w:r>
        <w:rPr>
          <w:rFonts w:ascii="Arial" w:eastAsia="Arial" w:hAnsi="Arial" w:cs="Arial"/>
          <w:b/>
          <w:color w:val="107087"/>
          <w:sz w:val="16"/>
          <w:szCs w:val="16"/>
        </w:rPr>
        <w:t>Provider</w:t>
      </w:r>
      <w:r>
        <w:rPr>
          <w:rFonts w:ascii="Arial" w:eastAsia="Arial" w:hAnsi="Arial" w:cs="Arial"/>
          <w:color w:val="000000"/>
          <w:sz w:val="16"/>
          <w:szCs w:val="16"/>
        </w:rPr>
        <w:t xml:space="preserve"> may change the </w:t>
      </w:r>
      <w:r>
        <w:rPr>
          <w:rFonts w:ascii="Arial" w:eastAsia="Arial" w:hAnsi="Arial" w:cs="Arial"/>
          <w:b/>
          <w:color w:val="107087"/>
          <w:sz w:val="16"/>
          <w:szCs w:val="16"/>
        </w:rPr>
        <w:t>Categories of Data Subjects</w:t>
      </w:r>
      <w:r>
        <w:rPr>
          <w:rFonts w:ascii="Arial" w:eastAsia="Arial" w:hAnsi="Arial" w:cs="Arial"/>
          <w:color w:val="000000"/>
          <w:sz w:val="16"/>
          <w:szCs w:val="16"/>
        </w:rPr>
        <w:t xml:space="preserve">, </w:t>
      </w:r>
      <w:r>
        <w:rPr>
          <w:rFonts w:ascii="Arial" w:eastAsia="Arial" w:hAnsi="Arial" w:cs="Arial"/>
          <w:b/>
          <w:color w:val="107087"/>
          <w:sz w:val="16"/>
          <w:szCs w:val="16"/>
        </w:rPr>
        <w:t>Categories of Personal Data</w:t>
      </w:r>
      <w:r>
        <w:rPr>
          <w:rFonts w:ascii="Arial" w:eastAsia="Arial" w:hAnsi="Arial" w:cs="Arial"/>
          <w:color w:val="000000"/>
          <w:sz w:val="16"/>
          <w:szCs w:val="16"/>
        </w:rPr>
        <w:t xml:space="preserve">, </w:t>
      </w:r>
      <w:r>
        <w:rPr>
          <w:rFonts w:ascii="Arial" w:eastAsia="Arial" w:hAnsi="Arial" w:cs="Arial"/>
          <w:b/>
          <w:color w:val="107087"/>
          <w:sz w:val="16"/>
          <w:szCs w:val="16"/>
        </w:rPr>
        <w:t>Special Category Data</w:t>
      </w:r>
      <w:r>
        <w:rPr>
          <w:rFonts w:ascii="Arial" w:eastAsia="Arial" w:hAnsi="Arial" w:cs="Arial"/>
          <w:color w:val="000000"/>
          <w:sz w:val="16"/>
          <w:szCs w:val="16"/>
        </w:rPr>
        <w:t xml:space="preserve">, </w:t>
      </w:r>
      <w:r>
        <w:rPr>
          <w:rFonts w:ascii="Arial" w:eastAsia="Arial" w:hAnsi="Arial" w:cs="Arial"/>
          <w:b/>
          <w:color w:val="107087"/>
          <w:sz w:val="16"/>
          <w:szCs w:val="16"/>
        </w:rPr>
        <w:t>Special Category Data Restrictions or Safeguards</w:t>
      </w:r>
      <w:r>
        <w:rPr>
          <w:rFonts w:ascii="Arial" w:eastAsia="Arial" w:hAnsi="Arial" w:cs="Arial"/>
          <w:color w:val="000000"/>
          <w:sz w:val="16"/>
          <w:szCs w:val="16"/>
        </w:rPr>
        <w:t xml:space="preserve">, </w:t>
      </w:r>
      <w:r>
        <w:rPr>
          <w:rFonts w:ascii="Arial" w:eastAsia="Arial" w:hAnsi="Arial" w:cs="Arial"/>
          <w:b/>
          <w:color w:val="107087"/>
          <w:sz w:val="16"/>
          <w:szCs w:val="16"/>
        </w:rPr>
        <w:t>Frequency of Transfer</w:t>
      </w:r>
      <w:r>
        <w:rPr>
          <w:rFonts w:ascii="Arial" w:eastAsia="Arial" w:hAnsi="Arial" w:cs="Arial"/>
          <w:color w:val="000000"/>
          <w:sz w:val="16"/>
          <w:szCs w:val="16"/>
        </w:rPr>
        <w:t xml:space="preserve">, </w:t>
      </w:r>
      <w:r>
        <w:rPr>
          <w:rFonts w:ascii="Arial" w:eastAsia="Arial" w:hAnsi="Arial" w:cs="Arial"/>
          <w:b/>
          <w:color w:val="107087"/>
          <w:sz w:val="16"/>
          <w:szCs w:val="16"/>
        </w:rPr>
        <w:t>Nature and Purpose of Processing</w:t>
      </w:r>
      <w:r>
        <w:rPr>
          <w:rFonts w:ascii="Arial" w:eastAsia="Arial" w:hAnsi="Arial" w:cs="Arial"/>
          <w:color w:val="000000"/>
          <w:sz w:val="16"/>
          <w:szCs w:val="16"/>
        </w:rPr>
        <w:t xml:space="preserve">, and </w:t>
      </w:r>
      <w:r>
        <w:rPr>
          <w:rFonts w:ascii="Arial" w:eastAsia="Arial" w:hAnsi="Arial" w:cs="Arial"/>
          <w:b/>
          <w:color w:val="107087"/>
          <w:sz w:val="16"/>
          <w:szCs w:val="16"/>
        </w:rPr>
        <w:t>Duration of Processing</w:t>
      </w:r>
      <w:r>
        <w:rPr>
          <w:rFonts w:ascii="Arial" w:eastAsia="Arial" w:hAnsi="Arial" w:cs="Arial"/>
          <w:color w:val="000000"/>
          <w:sz w:val="16"/>
          <w:szCs w:val="16"/>
        </w:rPr>
        <w:t xml:space="preserve"> as needed to reflect the updates by notifying </w:t>
      </w:r>
      <w:r>
        <w:rPr>
          <w:rFonts w:ascii="Arial" w:eastAsia="Arial" w:hAnsi="Arial" w:cs="Arial"/>
          <w:b/>
          <w:color w:val="107087"/>
          <w:sz w:val="16"/>
          <w:szCs w:val="16"/>
        </w:rPr>
        <w:t>Customer</w:t>
      </w:r>
      <w:r>
        <w:rPr>
          <w:rFonts w:ascii="Arial" w:eastAsia="Arial" w:hAnsi="Arial" w:cs="Arial"/>
          <w:color w:val="000000"/>
          <w:sz w:val="16"/>
          <w:szCs w:val="16"/>
        </w:rPr>
        <w:t xml:space="preserve"> of the updates and changes.</w:t>
      </w:r>
    </w:p>
    <w:p w14:paraId="111CBF1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Customer Processing</w:t>
      </w:r>
      <w:r>
        <w:rPr>
          <w:rFonts w:ascii="Arial" w:eastAsia="Arial" w:hAnsi="Arial" w:cs="Arial"/>
          <w:color w:val="000000"/>
          <w:sz w:val="16"/>
          <w:szCs w:val="16"/>
        </w:rPr>
        <w:t xml:space="preserve">.  Where </w:t>
      </w:r>
      <w:r>
        <w:rPr>
          <w:rFonts w:ascii="Arial" w:eastAsia="Arial" w:hAnsi="Arial" w:cs="Arial"/>
          <w:b/>
          <w:color w:val="107087"/>
          <w:sz w:val="16"/>
          <w:szCs w:val="16"/>
        </w:rPr>
        <w:t>Customer</w:t>
      </w:r>
      <w:r>
        <w:rPr>
          <w:rFonts w:ascii="Arial" w:eastAsia="Arial" w:hAnsi="Arial" w:cs="Arial"/>
          <w:color w:val="000000"/>
          <w:sz w:val="16"/>
          <w:szCs w:val="16"/>
        </w:rPr>
        <w:t xml:space="preserve"> is a Processor and </w:t>
      </w:r>
      <w:r>
        <w:rPr>
          <w:rFonts w:ascii="Arial" w:eastAsia="Arial" w:hAnsi="Arial" w:cs="Arial"/>
          <w:b/>
          <w:color w:val="107087"/>
          <w:sz w:val="16"/>
          <w:szCs w:val="16"/>
        </w:rPr>
        <w:t>Provider</w:t>
      </w:r>
      <w:r>
        <w:rPr>
          <w:rFonts w:ascii="Arial" w:eastAsia="Arial" w:hAnsi="Arial" w:cs="Arial"/>
          <w:color w:val="000000"/>
          <w:sz w:val="16"/>
          <w:szCs w:val="16"/>
        </w:rPr>
        <w:t xml:space="preserve"> is a Subprocessor, </w:t>
      </w:r>
      <w:r>
        <w:rPr>
          <w:rFonts w:ascii="Arial" w:eastAsia="Arial" w:hAnsi="Arial" w:cs="Arial"/>
          <w:b/>
          <w:color w:val="107087"/>
          <w:sz w:val="16"/>
          <w:szCs w:val="16"/>
        </w:rPr>
        <w:t>Customer</w:t>
      </w:r>
      <w:r>
        <w:rPr>
          <w:rFonts w:ascii="Arial" w:eastAsia="Arial" w:hAnsi="Arial" w:cs="Arial"/>
          <w:color w:val="000000"/>
          <w:sz w:val="16"/>
          <w:szCs w:val="16"/>
        </w:rPr>
        <w:t xml:space="preserve"> will comply with all Applicable Laws that apply to </w:t>
      </w:r>
      <w:r>
        <w:rPr>
          <w:rFonts w:ascii="Arial" w:eastAsia="Arial" w:hAnsi="Arial" w:cs="Arial"/>
          <w:b/>
          <w:color w:val="107087"/>
          <w:sz w:val="16"/>
          <w:szCs w:val="16"/>
        </w:rPr>
        <w:t>Customer’s</w:t>
      </w:r>
      <w:r>
        <w:rPr>
          <w:rFonts w:ascii="Arial" w:eastAsia="Arial" w:hAnsi="Arial" w:cs="Arial"/>
          <w:color w:val="000000"/>
          <w:sz w:val="16"/>
          <w:szCs w:val="16"/>
        </w:rPr>
        <w:t xml:space="preserve"> Processing of Customer Personal Data. </w:t>
      </w:r>
      <w:r>
        <w:rPr>
          <w:rFonts w:ascii="Arial" w:eastAsia="Arial" w:hAnsi="Arial" w:cs="Arial"/>
          <w:b/>
          <w:color w:val="107087"/>
          <w:sz w:val="16"/>
          <w:szCs w:val="16"/>
        </w:rPr>
        <w:t>Customer’s</w:t>
      </w:r>
      <w:r>
        <w:rPr>
          <w:rFonts w:ascii="Arial" w:eastAsia="Arial" w:hAnsi="Arial" w:cs="Arial"/>
          <w:color w:val="000000"/>
          <w:sz w:val="16"/>
          <w:szCs w:val="16"/>
        </w:rPr>
        <w:t xml:space="preserve"> agreement with its Controller will similarly require </w:t>
      </w:r>
      <w:r>
        <w:rPr>
          <w:rFonts w:ascii="Arial" w:eastAsia="Arial" w:hAnsi="Arial" w:cs="Arial"/>
          <w:b/>
          <w:color w:val="107087"/>
          <w:sz w:val="16"/>
          <w:szCs w:val="16"/>
        </w:rPr>
        <w:t>Customer</w:t>
      </w:r>
      <w:r>
        <w:rPr>
          <w:rFonts w:ascii="Arial" w:eastAsia="Arial" w:hAnsi="Arial" w:cs="Arial"/>
          <w:color w:val="000000"/>
          <w:sz w:val="16"/>
          <w:szCs w:val="16"/>
        </w:rPr>
        <w:t xml:space="preserve"> to comply with all Applicable Laws that apply to </w:t>
      </w:r>
      <w:r>
        <w:rPr>
          <w:rFonts w:ascii="Arial" w:eastAsia="Arial" w:hAnsi="Arial" w:cs="Arial"/>
          <w:b/>
          <w:color w:val="107087"/>
          <w:sz w:val="16"/>
          <w:szCs w:val="16"/>
        </w:rPr>
        <w:t>Customer</w:t>
      </w:r>
      <w:r>
        <w:rPr>
          <w:rFonts w:ascii="Arial" w:eastAsia="Arial" w:hAnsi="Arial" w:cs="Arial"/>
          <w:color w:val="000000"/>
          <w:sz w:val="16"/>
          <w:szCs w:val="16"/>
        </w:rPr>
        <w:t xml:space="preserve"> as a Processor. In addition, </w:t>
      </w:r>
      <w:r>
        <w:rPr>
          <w:rFonts w:ascii="Arial" w:eastAsia="Arial" w:hAnsi="Arial" w:cs="Arial"/>
          <w:b/>
          <w:color w:val="107087"/>
          <w:sz w:val="16"/>
          <w:szCs w:val="16"/>
        </w:rPr>
        <w:t>Customer</w:t>
      </w:r>
      <w:r>
        <w:rPr>
          <w:rFonts w:ascii="Arial" w:eastAsia="Arial" w:hAnsi="Arial" w:cs="Arial"/>
          <w:color w:val="000000"/>
          <w:sz w:val="16"/>
          <w:szCs w:val="16"/>
        </w:rPr>
        <w:t xml:space="preserve"> will comply with the Subprocessor requirements in </w:t>
      </w:r>
      <w:r>
        <w:rPr>
          <w:rFonts w:ascii="Arial" w:eastAsia="Arial" w:hAnsi="Arial" w:cs="Arial"/>
          <w:b/>
          <w:color w:val="107087"/>
          <w:sz w:val="16"/>
          <w:szCs w:val="16"/>
        </w:rPr>
        <w:t>Customer’s</w:t>
      </w:r>
      <w:r>
        <w:rPr>
          <w:rFonts w:ascii="Arial" w:eastAsia="Arial" w:hAnsi="Arial" w:cs="Arial"/>
          <w:color w:val="000000"/>
          <w:sz w:val="16"/>
          <w:szCs w:val="16"/>
        </w:rPr>
        <w:t xml:space="preserve"> agreement with its Controller.</w:t>
      </w:r>
    </w:p>
    <w:p w14:paraId="16DB1BB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Consent to Processing</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has complied with and will continue to comply with all Applicable Data Protection Laws concerning its provision of Customer Personal Data to </w:t>
      </w:r>
      <w:r>
        <w:rPr>
          <w:rFonts w:ascii="Arial" w:eastAsia="Arial" w:hAnsi="Arial" w:cs="Arial"/>
          <w:b/>
          <w:color w:val="107087"/>
          <w:sz w:val="16"/>
          <w:szCs w:val="16"/>
        </w:rPr>
        <w:t>Provider</w:t>
      </w:r>
      <w:r>
        <w:rPr>
          <w:rFonts w:ascii="Arial" w:eastAsia="Arial" w:hAnsi="Arial" w:cs="Arial"/>
          <w:color w:val="000000"/>
          <w:sz w:val="16"/>
          <w:szCs w:val="16"/>
        </w:rPr>
        <w:t xml:space="preserve"> and/or the Service, including making all disclosures, obtaining all consents, providing adequate choice, and implementing relevant safeguards required under Applicable Data Protection Laws.</w:t>
      </w:r>
    </w:p>
    <w:p w14:paraId="6EC3E15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Subprocessors</w:t>
      </w:r>
      <w:r>
        <w:rPr>
          <w:rFonts w:ascii="Arial" w:eastAsia="Arial" w:hAnsi="Arial" w:cs="Arial"/>
          <w:color w:val="000000"/>
          <w:sz w:val="16"/>
          <w:szCs w:val="16"/>
        </w:rPr>
        <w:t>.</w:t>
      </w:r>
    </w:p>
    <w:p w14:paraId="6BA8FC4E"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b/>
          <w:color w:val="107087"/>
          <w:sz w:val="16"/>
          <w:szCs w:val="16"/>
        </w:rPr>
        <w:t>Provider</w:t>
      </w:r>
      <w:r>
        <w:rPr>
          <w:rFonts w:ascii="Arial" w:eastAsia="Arial" w:hAnsi="Arial" w:cs="Arial"/>
          <w:color w:val="000000"/>
          <w:sz w:val="16"/>
          <w:szCs w:val="16"/>
        </w:rPr>
        <w:t xml:space="preserve"> will not provide, transfer, or hand over any Customer Personal Data to a Subprocessor unless </w:t>
      </w:r>
      <w:r>
        <w:rPr>
          <w:rFonts w:ascii="Arial" w:eastAsia="Arial" w:hAnsi="Arial" w:cs="Arial"/>
          <w:b/>
          <w:color w:val="107087"/>
          <w:sz w:val="16"/>
          <w:szCs w:val="16"/>
        </w:rPr>
        <w:t>Customer</w:t>
      </w:r>
      <w:r>
        <w:rPr>
          <w:rFonts w:ascii="Arial" w:eastAsia="Arial" w:hAnsi="Arial" w:cs="Arial"/>
          <w:color w:val="000000"/>
          <w:sz w:val="16"/>
          <w:szCs w:val="16"/>
        </w:rPr>
        <w:t xml:space="preserve"> has approved the Subprocessor. The current list of </w:t>
      </w:r>
      <w:r>
        <w:rPr>
          <w:rFonts w:ascii="Arial" w:eastAsia="Arial" w:hAnsi="Arial" w:cs="Arial"/>
          <w:b/>
          <w:color w:val="107087"/>
          <w:sz w:val="16"/>
          <w:szCs w:val="16"/>
        </w:rPr>
        <w:t>Approved Subprocessors</w:t>
      </w:r>
      <w:r>
        <w:rPr>
          <w:rFonts w:ascii="Arial" w:eastAsia="Arial" w:hAnsi="Arial" w:cs="Arial"/>
          <w:color w:val="000000"/>
          <w:sz w:val="16"/>
          <w:szCs w:val="16"/>
        </w:rPr>
        <w:t xml:space="preserve"> includes the identities of the Subprocessors, their country of location, and their anticipated Processing tasks. </w:t>
      </w:r>
      <w:r>
        <w:rPr>
          <w:rFonts w:ascii="Arial" w:eastAsia="Arial" w:hAnsi="Arial" w:cs="Arial"/>
          <w:b/>
          <w:color w:val="107087"/>
          <w:sz w:val="16"/>
          <w:szCs w:val="16"/>
        </w:rPr>
        <w:t>Provider</w:t>
      </w:r>
      <w:r>
        <w:rPr>
          <w:rFonts w:ascii="Arial" w:eastAsia="Arial" w:hAnsi="Arial" w:cs="Arial"/>
          <w:color w:val="000000"/>
          <w:sz w:val="16"/>
          <w:szCs w:val="16"/>
        </w:rPr>
        <w:t xml:space="preserve"> will inform </w:t>
      </w:r>
      <w:r>
        <w:rPr>
          <w:rFonts w:ascii="Arial" w:eastAsia="Arial" w:hAnsi="Arial" w:cs="Arial"/>
          <w:b/>
          <w:color w:val="107087"/>
          <w:sz w:val="16"/>
          <w:szCs w:val="16"/>
        </w:rPr>
        <w:t>Customer</w:t>
      </w:r>
      <w:r>
        <w:rPr>
          <w:rFonts w:ascii="Arial" w:eastAsia="Arial" w:hAnsi="Arial" w:cs="Arial"/>
          <w:color w:val="000000"/>
          <w:sz w:val="16"/>
          <w:szCs w:val="16"/>
        </w:rPr>
        <w:t xml:space="preserve"> at least 10 business days in advance and in writing of any intended changes to the </w:t>
      </w:r>
      <w:r>
        <w:rPr>
          <w:rFonts w:ascii="Arial" w:eastAsia="Arial" w:hAnsi="Arial" w:cs="Arial"/>
          <w:b/>
          <w:color w:val="107087"/>
          <w:sz w:val="16"/>
          <w:szCs w:val="16"/>
        </w:rPr>
        <w:t>Approved</w:t>
      </w:r>
      <w:r>
        <w:rPr>
          <w:rFonts w:ascii="Arial" w:eastAsia="Arial" w:hAnsi="Arial" w:cs="Arial"/>
          <w:b/>
          <w:color w:val="000000"/>
          <w:sz w:val="16"/>
          <w:szCs w:val="16"/>
        </w:rPr>
        <w:t xml:space="preserve"> </w:t>
      </w:r>
      <w:r>
        <w:rPr>
          <w:rFonts w:ascii="Arial" w:eastAsia="Arial" w:hAnsi="Arial" w:cs="Arial"/>
          <w:b/>
          <w:color w:val="107087"/>
          <w:sz w:val="16"/>
          <w:szCs w:val="16"/>
        </w:rPr>
        <w:t>Subprocessors</w:t>
      </w:r>
      <w:r>
        <w:rPr>
          <w:rFonts w:ascii="Arial" w:eastAsia="Arial" w:hAnsi="Arial" w:cs="Arial"/>
          <w:color w:val="000000"/>
          <w:sz w:val="16"/>
          <w:szCs w:val="16"/>
        </w:rPr>
        <w:t xml:space="preserve"> whether by addition or replacement of a Subprocessor, which allows </w:t>
      </w:r>
      <w:r>
        <w:rPr>
          <w:rFonts w:ascii="Arial" w:eastAsia="Arial" w:hAnsi="Arial" w:cs="Arial"/>
          <w:b/>
          <w:color w:val="107087"/>
          <w:sz w:val="16"/>
          <w:szCs w:val="16"/>
        </w:rPr>
        <w:t>Customer</w:t>
      </w:r>
      <w:r>
        <w:rPr>
          <w:rFonts w:ascii="Arial" w:eastAsia="Arial" w:hAnsi="Arial" w:cs="Arial"/>
          <w:color w:val="000000"/>
          <w:sz w:val="16"/>
          <w:szCs w:val="16"/>
        </w:rPr>
        <w:t xml:space="preserve"> to have enough time to object to the changes before the </w:t>
      </w:r>
      <w:r>
        <w:rPr>
          <w:rFonts w:ascii="Arial" w:eastAsia="Arial" w:hAnsi="Arial" w:cs="Arial"/>
          <w:b/>
          <w:color w:val="107087"/>
          <w:sz w:val="16"/>
          <w:szCs w:val="16"/>
        </w:rPr>
        <w:t>Provider</w:t>
      </w:r>
      <w:r>
        <w:rPr>
          <w:rFonts w:ascii="Arial" w:eastAsia="Arial" w:hAnsi="Arial" w:cs="Arial"/>
          <w:color w:val="000000"/>
          <w:sz w:val="16"/>
          <w:szCs w:val="16"/>
        </w:rPr>
        <w:t xml:space="preserve"> begins using the new Subprocessor(s). </w:t>
      </w:r>
      <w:r>
        <w:rPr>
          <w:rFonts w:ascii="Arial" w:eastAsia="Arial" w:hAnsi="Arial" w:cs="Arial"/>
          <w:b/>
          <w:color w:val="107087"/>
          <w:sz w:val="16"/>
          <w:szCs w:val="16"/>
        </w:rPr>
        <w:t>Provider</w:t>
      </w:r>
      <w:r>
        <w:rPr>
          <w:rFonts w:ascii="Arial" w:eastAsia="Arial" w:hAnsi="Arial" w:cs="Arial"/>
          <w:color w:val="000000"/>
          <w:sz w:val="16"/>
          <w:szCs w:val="16"/>
        </w:rPr>
        <w:t xml:space="preserve"> will give </w:t>
      </w:r>
      <w:r>
        <w:rPr>
          <w:rFonts w:ascii="Arial" w:eastAsia="Arial" w:hAnsi="Arial" w:cs="Arial"/>
          <w:b/>
          <w:color w:val="107087"/>
          <w:sz w:val="16"/>
          <w:szCs w:val="16"/>
        </w:rPr>
        <w:t>Customer</w:t>
      </w:r>
      <w:r>
        <w:rPr>
          <w:rFonts w:ascii="Arial" w:eastAsia="Arial" w:hAnsi="Arial" w:cs="Arial"/>
          <w:color w:val="000000"/>
          <w:sz w:val="16"/>
          <w:szCs w:val="16"/>
        </w:rPr>
        <w:t xml:space="preserve"> the information necessary to allow </w:t>
      </w:r>
      <w:r>
        <w:rPr>
          <w:rFonts w:ascii="Arial" w:eastAsia="Arial" w:hAnsi="Arial" w:cs="Arial"/>
          <w:b/>
          <w:color w:val="107087"/>
          <w:sz w:val="16"/>
          <w:szCs w:val="16"/>
        </w:rPr>
        <w:t>Customer</w:t>
      </w:r>
      <w:r>
        <w:rPr>
          <w:rFonts w:ascii="Arial" w:eastAsia="Arial" w:hAnsi="Arial" w:cs="Arial"/>
          <w:color w:val="000000"/>
          <w:sz w:val="16"/>
          <w:szCs w:val="16"/>
        </w:rPr>
        <w:t xml:space="preserve"> to exercise its right to object to the change to </w:t>
      </w:r>
      <w:r>
        <w:rPr>
          <w:rFonts w:ascii="Arial" w:eastAsia="Arial" w:hAnsi="Arial" w:cs="Arial"/>
          <w:b/>
          <w:color w:val="107087"/>
          <w:sz w:val="16"/>
          <w:szCs w:val="16"/>
        </w:rPr>
        <w:t>Approved</w:t>
      </w:r>
      <w:r>
        <w:rPr>
          <w:rFonts w:ascii="Arial" w:eastAsia="Arial" w:hAnsi="Arial" w:cs="Arial"/>
          <w:b/>
          <w:color w:val="000000"/>
          <w:sz w:val="16"/>
          <w:szCs w:val="16"/>
        </w:rPr>
        <w:t xml:space="preserve"> </w:t>
      </w:r>
      <w:r>
        <w:rPr>
          <w:rFonts w:ascii="Arial" w:eastAsia="Arial" w:hAnsi="Arial" w:cs="Arial"/>
          <w:b/>
          <w:color w:val="107087"/>
          <w:sz w:val="16"/>
          <w:szCs w:val="16"/>
        </w:rPr>
        <w:t>Subprocessors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has 30 days after notice of a change to the </w:t>
      </w:r>
      <w:r>
        <w:rPr>
          <w:rFonts w:ascii="Arial" w:eastAsia="Arial" w:hAnsi="Arial" w:cs="Arial"/>
          <w:b/>
          <w:color w:val="107087"/>
          <w:sz w:val="16"/>
          <w:szCs w:val="16"/>
        </w:rPr>
        <w:t>Approved</w:t>
      </w:r>
      <w:r>
        <w:rPr>
          <w:rFonts w:ascii="Arial" w:eastAsia="Arial" w:hAnsi="Arial" w:cs="Arial"/>
          <w:b/>
          <w:color w:val="000000"/>
          <w:sz w:val="16"/>
          <w:szCs w:val="16"/>
        </w:rPr>
        <w:t xml:space="preserve"> </w:t>
      </w:r>
      <w:r>
        <w:rPr>
          <w:rFonts w:ascii="Arial" w:eastAsia="Arial" w:hAnsi="Arial" w:cs="Arial"/>
          <w:b/>
          <w:color w:val="107087"/>
          <w:sz w:val="16"/>
          <w:szCs w:val="16"/>
        </w:rPr>
        <w:t>Subprocessors</w:t>
      </w:r>
      <w:r>
        <w:rPr>
          <w:rFonts w:ascii="Arial" w:eastAsia="Arial" w:hAnsi="Arial" w:cs="Arial"/>
          <w:color w:val="000000"/>
          <w:sz w:val="16"/>
          <w:szCs w:val="16"/>
        </w:rPr>
        <w:t xml:space="preserve"> to object, otherwise</w:t>
      </w:r>
      <w:r>
        <w:rPr>
          <w:rFonts w:ascii="Arial" w:eastAsia="Arial" w:hAnsi="Arial" w:cs="Arial"/>
          <w:b/>
          <w:color w:val="000000"/>
          <w:sz w:val="16"/>
          <w:szCs w:val="16"/>
        </w:rPr>
        <w:t xml:space="preserve"> </w:t>
      </w:r>
      <w:r>
        <w:rPr>
          <w:rFonts w:ascii="Arial" w:eastAsia="Arial" w:hAnsi="Arial" w:cs="Arial"/>
          <w:b/>
          <w:color w:val="107087"/>
          <w:sz w:val="16"/>
          <w:szCs w:val="16"/>
        </w:rPr>
        <w:t>Customer</w:t>
      </w:r>
      <w:r>
        <w:rPr>
          <w:rFonts w:ascii="Arial" w:eastAsia="Arial" w:hAnsi="Arial" w:cs="Arial"/>
          <w:b/>
          <w:color w:val="000000"/>
          <w:sz w:val="16"/>
          <w:szCs w:val="16"/>
        </w:rPr>
        <w:t xml:space="preserve"> </w:t>
      </w:r>
      <w:r>
        <w:rPr>
          <w:rFonts w:ascii="Arial" w:eastAsia="Arial" w:hAnsi="Arial" w:cs="Arial"/>
          <w:color w:val="000000"/>
          <w:sz w:val="16"/>
          <w:szCs w:val="16"/>
        </w:rPr>
        <w:t>will</w:t>
      </w:r>
      <w:r>
        <w:rPr>
          <w:rFonts w:ascii="Arial" w:eastAsia="Arial" w:hAnsi="Arial" w:cs="Arial"/>
          <w:b/>
          <w:color w:val="000000"/>
          <w:sz w:val="16"/>
          <w:szCs w:val="16"/>
        </w:rPr>
        <w:t xml:space="preserve"> </w:t>
      </w:r>
      <w:r>
        <w:rPr>
          <w:rFonts w:ascii="Arial" w:eastAsia="Arial" w:hAnsi="Arial" w:cs="Arial"/>
          <w:color w:val="000000"/>
          <w:sz w:val="16"/>
          <w:szCs w:val="16"/>
        </w:rPr>
        <w:t xml:space="preserve">be deemed to accept the changes. If </w:t>
      </w:r>
      <w:r>
        <w:rPr>
          <w:rFonts w:ascii="Arial" w:eastAsia="Arial" w:hAnsi="Arial" w:cs="Arial"/>
          <w:b/>
          <w:color w:val="107087"/>
          <w:sz w:val="16"/>
          <w:szCs w:val="16"/>
        </w:rPr>
        <w:t>Customer</w:t>
      </w:r>
      <w:r>
        <w:rPr>
          <w:rFonts w:ascii="Arial" w:eastAsia="Arial" w:hAnsi="Arial" w:cs="Arial"/>
          <w:color w:val="000000"/>
          <w:sz w:val="16"/>
          <w:szCs w:val="16"/>
        </w:rPr>
        <w:t xml:space="preserve"> objects to the change within 30 days of notice,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will cooperate in good faith to resolve </w:t>
      </w:r>
      <w:r>
        <w:rPr>
          <w:rFonts w:ascii="Arial" w:eastAsia="Arial" w:hAnsi="Arial" w:cs="Arial"/>
          <w:b/>
          <w:color w:val="107087"/>
          <w:sz w:val="16"/>
          <w:szCs w:val="16"/>
        </w:rPr>
        <w:t>Customer’s</w:t>
      </w:r>
      <w:r>
        <w:rPr>
          <w:rFonts w:ascii="Arial" w:eastAsia="Arial" w:hAnsi="Arial" w:cs="Arial"/>
          <w:color w:val="000000"/>
          <w:sz w:val="16"/>
          <w:szCs w:val="16"/>
        </w:rPr>
        <w:t xml:space="preserve"> objection or concern.</w:t>
      </w:r>
    </w:p>
    <w:p w14:paraId="4CE4289B"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When engaging a Subprocessor, </w:t>
      </w:r>
      <w:r>
        <w:rPr>
          <w:rFonts w:ascii="Arial" w:eastAsia="Arial" w:hAnsi="Arial" w:cs="Arial"/>
          <w:b/>
          <w:color w:val="107087"/>
          <w:sz w:val="16"/>
          <w:szCs w:val="16"/>
        </w:rPr>
        <w:t>Provider</w:t>
      </w:r>
      <w:r>
        <w:rPr>
          <w:rFonts w:ascii="Arial" w:eastAsia="Arial" w:hAnsi="Arial" w:cs="Arial"/>
          <w:color w:val="000000"/>
          <w:sz w:val="16"/>
          <w:szCs w:val="16"/>
        </w:rPr>
        <w:t xml:space="preserve"> will have a written agreement with the Subprocessor that ensures the Subprocessor only accesses and uses Customer Personal Data (i) to the extent required to perform the obligations subcontracted to it, and (ii) consistent with the terms of </w:t>
      </w:r>
      <w:r>
        <w:rPr>
          <w:rFonts w:ascii="Arial" w:eastAsia="Arial" w:hAnsi="Arial" w:cs="Arial"/>
          <w:b/>
          <w:color w:val="107087"/>
          <w:sz w:val="16"/>
          <w:szCs w:val="16"/>
        </w:rPr>
        <w:t>Agreement</w:t>
      </w:r>
      <w:r>
        <w:rPr>
          <w:rFonts w:ascii="Arial" w:eastAsia="Arial" w:hAnsi="Arial" w:cs="Arial"/>
          <w:color w:val="000000"/>
          <w:sz w:val="16"/>
          <w:szCs w:val="16"/>
        </w:rPr>
        <w:t xml:space="preserve">. </w:t>
      </w:r>
    </w:p>
    <w:p w14:paraId="67F6AE47"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bookmarkStart w:id="0" w:name="_heading=h.ivf0bkqs1po9" w:colFirst="0" w:colLast="0"/>
      <w:bookmarkEnd w:id="0"/>
      <w:r>
        <w:rPr>
          <w:rFonts w:ascii="Arial" w:eastAsia="Arial" w:hAnsi="Arial" w:cs="Arial"/>
          <w:color w:val="000000"/>
          <w:sz w:val="16"/>
          <w:szCs w:val="16"/>
        </w:rPr>
        <w:t xml:space="preserve">If the GDPR applies to the Processing of Customer Personal Data, (i) the data protection obligations described in this DPA (as referred to in Article 28(3) of the GDPR, if applicable) are also imposed on the Subprocessor, and (ii) </w:t>
      </w:r>
      <w:r>
        <w:rPr>
          <w:rFonts w:ascii="Arial" w:eastAsia="Arial" w:hAnsi="Arial" w:cs="Arial"/>
          <w:b/>
          <w:color w:val="107087"/>
          <w:sz w:val="16"/>
          <w:szCs w:val="16"/>
        </w:rPr>
        <w:t>Provider’s</w:t>
      </w:r>
      <w:r>
        <w:rPr>
          <w:rFonts w:ascii="Arial" w:eastAsia="Arial" w:hAnsi="Arial" w:cs="Arial"/>
          <w:color w:val="000000"/>
          <w:sz w:val="16"/>
          <w:szCs w:val="16"/>
        </w:rPr>
        <w:t xml:space="preserve"> agreement with the Subprocessor will incorporate these obligations, including details about how </w:t>
      </w:r>
      <w:r>
        <w:rPr>
          <w:rFonts w:ascii="Arial" w:eastAsia="Arial" w:hAnsi="Arial" w:cs="Arial"/>
          <w:b/>
          <w:color w:val="107087"/>
          <w:sz w:val="16"/>
          <w:szCs w:val="16"/>
        </w:rPr>
        <w:t>Provider</w:t>
      </w:r>
      <w:r>
        <w:rPr>
          <w:rFonts w:ascii="Arial" w:eastAsia="Arial" w:hAnsi="Arial" w:cs="Arial"/>
          <w:color w:val="000000"/>
          <w:sz w:val="16"/>
          <w:szCs w:val="16"/>
        </w:rPr>
        <w:t xml:space="preserve"> and its Subprocessor will coordinate to respond to inquiries or requests about the Processing of Customer Personal Data. In addition, </w:t>
      </w:r>
      <w:r>
        <w:rPr>
          <w:rFonts w:ascii="Arial" w:eastAsia="Arial" w:hAnsi="Arial" w:cs="Arial"/>
          <w:b/>
          <w:color w:val="107087"/>
          <w:sz w:val="16"/>
          <w:szCs w:val="16"/>
        </w:rPr>
        <w:t>Provider</w:t>
      </w:r>
      <w:r>
        <w:rPr>
          <w:rFonts w:ascii="Arial" w:eastAsia="Arial" w:hAnsi="Arial" w:cs="Arial"/>
          <w:color w:val="000000"/>
          <w:sz w:val="16"/>
          <w:szCs w:val="16"/>
        </w:rPr>
        <w:t xml:space="preserve"> will share, at </w:t>
      </w:r>
      <w:r>
        <w:rPr>
          <w:rFonts w:ascii="Arial" w:eastAsia="Arial" w:hAnsi="Arial" w:cs="Arial"/>
          <w:b/>
          <w:color w:val="107087"/>
          <w:sz w:val="16"/>
          <w:szCs w:val="16"/>
        </w:rPr>
        <w:t>Customer’s</w:t>
      </w:r>
      <w:r>
        <w:rPr>
          <w:rFonts w:ascii="Arial" w:eastAsia="Arial" w:hAnsi="Arial" w:cs="Arial"/>
          <w:color w:val="000000"/>
          <w:sz w:val="16"/>
          <w:szCs w:val="16"/>
        </w:rPr>
        <w:t xml:space="preserve"> request, a copy of its agreements (including any amendments) with its Subprocessors. To the extent necessary to protect business secrets or other confidential information, including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may redact the text of its agreement with its Subprocessor prior to sharing a copy.</w:t>
      </w:r>
    </w:p>
    <w:p w14:paraId="7D88D02D"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b/>
          <w:color w:val="107087"/>
          <w:sz w:val="16"/>
          <w:szCs w:val="16"/>
        </w:rPr>
        <w:t>Provider</w:t>
      </w:r>
      <w:r>
        <w:rPr>
          <w:rFonts w:ascii="Arial" w:eastAsia="Arial" w:hAnsi="Arial" w:cs="Arial"/>
          <w:color w:val="000000"/>
          <w:sz w:val="16"/>
          <w:szCs w:val="16"/>
        </w:rPr>
        <w:t xml:space="preserve"> remains fully liable for all obligations subcontracted to its Subprocessors, including the acts and omissions of its Subprocessors in Processing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notify </w:t>
      </w:r>
      <w:r>
        <w:rPr>
          <w:rFonts w:ascii="Arial" w:eastAsia="Arial" w:hAnsi="Arial" w:cs="Arial"/>
          <w:b/>
          <w:color w:val="107087"/>
          <w:sz w:val="16"/>
          <w:szCs w:val="16"/>
        </w:rPr>
        <w:t>Customer</w:t>
      </w:r>
      <w:r>
        <w:rPr>
          <w:rFonts w:ascii="Arial" w:eastAsia="Arial" w:hAnsi="Arial" w:cs="Arial"/>
          <w:color w:val="000000"/>
          <w:sz w:val="16"/>
          <w:szCs w:val="16"/>
        </w:rPr>
        <w:t xml:space="preserve"> of any failure by its Subprocessors to fulfill a material obligation about Customer Personal Data under the agreement between </w:t>
      </w:r>
      <w:r>
        <w:rPr>
          <w:rFonts w:ascii="Arial" w:eastAsia="Arial" w:hAnsi="Arial" w:cs="Arial"/>
          <w:b/>
          <w:color w:val="107087"/>
          <w:sz w:val="16"/>
          <w:szCs w:val="16"/>
        </w:rPr>
        <w:t>Provider</w:t>
      </w:r>
      <w:r>
        <w:rPr>
          <w:rFonts w:ascii="Arial" w:eastAsia="Arial" w:hAnsi="Arial" w:cs="Arial"/>
          <w:color w:val="000000"/>
          <w:sz w:val="16"/>
          <w:szCs w:val="16"/>
        </w:rPr>
        <w:t xml:space="preserve"> and the Subprocessor. </w:t>
      </w:r>
    </w:p>
    <w:p w14:paraId="04A74E41"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Restricted Transfers</w:t>
      </w:r>
    </w:p>
    <w:p w14:paraId="2171C97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Authorization</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agrees that </w:t>
      </w:r>
      <w:r>
        <w:rPr>
          <w:rFonts w:ascii="Arial" w:eastAsia="Arial" w:hAnsi="Arial" w:cs="Arial"/>
          <w:b/>
          <w:color w:val="107087"/>
          <w:sz w:val="16"/>
          <w:szCs w:val="16"/>
        </w:rPr>
        <w:t>Provider</w:t>
      </w:r>
      <w:r>
        <w:rPr>
          <w:rFonts w:ascii="Arial" w:eastAsia="Arial" w:hAnsi="Arial" w:cs="Arial"/>
          <w:color w:val="000000"/>
          <w:sz w:val="16"/>
          <w:szCs w:val="16"/>
        </w:rPr>
        <w:t xml:space="preserve"> may transfer Customer Personal Data outside the EEA, the United Kingdom, or other relevant geographic territory as necessary to provide the Service. If </w:t>
      </w:r>
      <w:r>
        <w:rPr>
          <w:rFonts w:ascii="Arial" w:eastAsia="Arial" w:hAnsi="Arial" w:cs="Arial"/>
          <w:b/>
          <w:color w:val="107087"/>
          <w:sz w:val="16"/>
          <w:szCs w:val="16"/>
        </w:rPr>
        <w:t>Provider</w:t>
      </w:r>
      <w:r>
        <w:rPr>
          <w:rFonts w:ascii="Arial" w:eastAsia="Arial" w:hAnsi="Arial" w:cs="Arial"/>
          <w:color w:val="000000"/>
          <w:sz w:val="16"/>
          <w:szCs w:val="16"/>
        </w:rPr>
        <w:t xml:space="preserve"> transfers Customer Personal Data to a territory for which the European Commission or other relevant supervisory authority has not issued an adequacy decision, </w:t>
      </w:r>
      <w:r>
        <w:rPr>
          <w:rFonts w:ascii="Arial" w:eastAsia="Arial" w:hAnsi="Arial" w:cs="Arial"/>
          <w:b/>
          <w:color w:val="107087"/>
          <w:sz w:val="16"/>
          <w:szCs w:val="16"/>
        </w:rPr>
        <w:t>Provider</w:t>
      </w:r>
      <w:r>
        <w:rPr>
          <w:rFonts w:ascii="Arial" w:eastAsia="Arial" w:hAnsi="Arial" w:cs="Arial"/>
          <w:color w:val="000000"/>
          <w:sz w:val="16"/>
          <w:szCs w:val="16"/>
        </w:rPr>
        <w:t xml:space="preserve"> will implement appropriate safeguards for the transfer of Customer Personal Data to that territory consistent with Applicable Data Protection Laws.</w:t>
      </w:r>
    </w:p>
    <w:p w14:paraId="254B8AE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Ex-EEA Transfers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agree that if the GDPR protects the transfer of Customer Personal Data, the transfer is from </w:t>
      </w:r>
      <w:r>
        <w:rPr>
          <w:rFonts w:ascii="Arial" w:eastAsia="Arial" w:hAnsi="Arial" w:cs="Arial"/>
          <w:b/>
          <w:color w:val="000000"/>
          <w:sz w:val="16"/>
          <w:szCs w:val="16"/>
        </w:rPr>
        <w:t>Customer</w:t>
      </w:r>
      <w:r>
        <w:rPr>
          <w:rFonts w:ascii="Arial" w:eastAsia="Arial" w:hAnsi="Arial" w:cs="Arial"/>
          <w:color w:val="000000"/>
          <w:sz w:val="16"/>
          <w:szCs w:val="16"/>
        </w:rPr>
        <w:t xml:space="preserve"> from within the EEA to </w:t>
      </w:r>
      <w:r>
        <w:rPr>
          <w:rFonts w:ascii="Arial" w:eastAsia="Arial" w:hAnsi="Arial" w:cs="Arial"/>
          <w:b/>
          <w:color w:val="107087"/>
          <w:sz w:val="16"/>
          <w:szCs w:val="16"/>
        </w:rPr>
        <w:t>Provider</w:t>
      </w:r>
      <w:r>
        <w:rPr>
          <w:rFonts w:ascii="Arial" w:eastAsia="Arial" w:hAnsi="Arial" w:cs="Arial"/>
          <w:color w:val="000000"/>
          <w:sz w:val="16"/>
          <w:szCs w:val="16"/>
        </w:rPr>
        <w:t xml:space="preserve"> outside of the EEA, and the transfer is not governed by an adequacy decision made by the European Commission, then by entering into this DPA,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are deemed to have signed the EEA SCCs and their Annexes, which are incorporated by reference. Any such transfer is made pursuant to the EEA SCCs, which are completed as follows:</w:t>
      </w:r>
    </w:p>
    <w:p w14:paraId="5E1C156F"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Module Two (Controller to Processor) of the EEA SCCs apply when </w:t>
      </w:r>
      <w:r>
        <w:rPr>
          <w:rFonts w:ascii="Arial" w:eastAsia="Arial" w:hAnsi="Arial" w:cs="Arial"/>
          <w:b/>
          <w:color w:val="107087"/>
          <w:sz w:val="16"/>
          <w:szCs w:val="16"/>
        </w:rPr>
        <w:t>Customer</w:t>
      </w:r>
      <w:r>
        <w:rPr>
          <w:rFonts w:ascii="Arial" w:eastAsia="Arial" w:hAnsi="Arial" w:cs="Arial"/>
          <w:color w:val="000000"/>
          <w:sz w:val="16"/>
          <w:szCs w:val="16"/>
        </w:rPr>
        <w:t xml:space="preserve"> is a Controller and </w:t>
      </w:r>
      <w:r>
        <w:rPr>
          <w:rFonts w:ascii="Arial" w:eastAsia="Arial" w:hAnsi="Arial" w:cs="Arial"/>
          <w:b/>
          <w:color w:val="107087"/>
          <w:sz w:val="16"/>
          <w:szCs w:val="16"/>
        </w:rPr>
        <w:t>Provider</w:t>
      </w:r>
      <w:r>
        <w:rPr>
          <w:rFonts w:ascii="Arial" w:eastAsia="Arial" w:hAnsi="Arial" w:cs="Arial"/>
          <w:color w:val="000000"/>
          <w:sz w:val="16"/>
          <w:szCs w:val="16"/>
        </w:rPr>
        <w:t xml:space="preserve"> is Processing Customer Personal Data for </w:t>
      </w:r>
      <w:r>
        <w:rPr>
          <w:rFonts w:ascii="Arial" w:eastAsia="Arial" w:hAnsi="Arial" w:cs="Arial"/>
          <w:b/>
          <w:color w:val="107087"/>
          <w:sz w:val="16"/>
          <w:szCs w:val="16"/>
        </w:rPr>
        <w:t>Customer</w:t>
      </w:r>
      <w:r>
        <w:rPr>
          <w:rFonts w:ascii="Arial" w:eastAsia="Arial" w:hAnsi="Arial" w:cs="Arial"/>
          <w:color w:val="000000"/>
          <w:sz w:val="16"/>
          <w:szCs w:val="16"/>
        </w:rPr>
        <w:t xml:space="preserve"> as a Processor.</w:t>
      </w:r>
    </w:p>
    <w:p w14:paraId="766F1D89"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Module Three (Processor to Sub-Processor) of the EEA SCCs apply when </w:t>
      </w:r>
      <w:r>
        <w:rPr>
          <w:rFonts w:ascii="Arial" w:eastAsia="Arial" w:hAnsi="Arial" w:cs="Arial"/>
          <w:b/>
          <w:color w:val="107087"/>
          <w:sz w:val="16"/>
          <w:szCs w:val="16"/>
        </w:rPr>
        <w:t>Customer</w:t>
      </w:r>
      <w:r>
        <w:rPr>
          <w:rFonts w:ascii="Arial" w:eastAsia="Arial" w:hAnsi="Arial" w:cs="Arial"/>
          <w:color w:val="000000"/>
          <w:sz w:val="16"/>
          <w:szCs w:val="16"/>
        </w:rPr>
        <w:t xml:space="preserve"> is a Processor and </w:t>
      </w:r>
      <w:r>
        <w:rPr>
          <w:rFonts w:ascii="Arial" w:eastAsia="Arial" w:hAnsi="Arial" w:cs="Arial"/>
          <w:b/>
          <w:color w:val="107087"/>
          <w:sz w:val="16"/>
          <w:szCs w:val="16"/>
        </w:rPr>
        <w:t>Provider</w:t>
      </w:r>
      <w:r>
        <w:rPr>
          <w:rFonts w:ascii="Arial" w:eastAsia="Arial" w:hAnsi="Arial" w:cs="Arial"/>
          <w:color w:val="000000"/>
          <w:sz w:val="16"/>
          <w:szCs w:val="16"/>
        </w:rPr>
        <w:t xml:space="preserve"> is Processing Customer Personal Data on behalf of </w:t>
      </w:r>
      <w:r>
        <w:rPr>
          <w:rFonts w:ascii="Arial" w:eastAsia="Arial" w:hAnsi="Arial" w:cs="Arial"/>
          <w:b/>
          <w:color w:val="107087"/>
          <w:sz w:val="16"/>
          <w:szCs w:val="16"/>
        </w:rPr>
        <w:t>Customer</w:t>
      </w:r>
      <w:r>
        <w:rPr>
          <w:rFonts w:ascii="Arial" w:eastAsia="Arial" w:hAnsi="Arial" w:cs="Arial"/>
          <w:color w:val="000000"/>
          <w:sz w:val="16"/>
          <w:szCs w:val="16"/>
        </w:rPr>
        <w:t xml:space="preserve"> as a Subprocessor.</w:t>
      </w:r>
    </w:p>
    <w:p w14:paraId="1FCD0549"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For each module, the following applies (when applicable):</w:t>
      </w:r>
    </w:p>
    <w:p w14:paraId="17508662"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lastRenderedPageBreak/>
        <w:t>The optional docking clause in Clause 7 does not apply;</w:t>
      </w:r>
    </w:p>
    <w:p w14:paraId="07400E4F" w14:textId="77777777" w:rsidR="00170C6E" w:rsidRDefault="00000000">
      <w:pPr>
        <w:numPr>
          <w:ilvl w:val="3"/>
          <w:numId w:val="1"/>
        </w:numPr>
        <w:pBdr>
          <w:top w:val="nil"/>
          <w:left w:val="nil"/>
          <w:bottom w:val="nil"/>
          <w:right w:val="nil"/>
          <w:between w:val="nil"/>
        </w:pBdr>
        <w:tabs>
          <w:tab w:val="left" w:pos="1080"/>
        </w:tabs>
        <w:spacing w:after="120"/>
        <w:rPr>
          <w:rFonts w:ascii="Arial" w:eastAsia="Arial" w:hAnsi="Arial" w:cs="Arial"/>
          <w:color w:val="000000"/>
          <w:sz w:val="16"/>
          <w:szCs w:val="16"/>
        </w:rPr>
      </w:pPr>
      <w:r>
        <w:rPr>
          <w:rFonts w:ascii="Arial" w:eastAsia="Arial" w:hAnsi="Arial" w:cs="Arial"/>
          <w:color w:val="000000"/>
          <w:sz w:val="16"/>
          <w:szCs w:val="16"/>
        </w:rPr>
        <w:t>In Clause 9, Option 2 (general written authorization) applies, and the minimum time period for prior notice of Subprocessor changes is 10 business days;</w:t>
      </w:r>
    </w:p>
    <w:p w14:paraId="3F71A2B9" w14:textId="77777777" w:rsidR="00170C6E" w:rsidRDefault="00000000">
      <w:pPr>
        <w:numPr>
          <w:ilvl w:val="3"/>
          <w:numId w:val="1"/>
        </w:numPr>
        <w:pBdr>
          <w:top w:val="nil"/>
          <w:left w:val="nil"/>
          <w:bottom w:val="nil"/>
          <w:right w:val="nil"/>
          <w:between w:val="nil"/>
        </w:pBdr>
        <w:tabs>
          <w:tab w:val="left" w:pos="1080"/>
        </w:tabs>
        <w:spacing w:after="120"/>
        <w:rPr>
          <w:rFonts w:ascii="Arial" w:eastAsia="Arial" w:hAnsi="Arial" w:cs="Arial"/>
          <w:color w:val="000000"/>
          <w:sz w:val="16"/>
          <w:szCs w:val="16"/>
        </w:rPr>
      </w:pPr>
      <w:r>
        <w:rPr>
          <w:rFonts w:ascii="Arial" w:eastAsia="Arial" w:hAnsi="Arial" w:cs="Arial"/>
          <w:color w:val="000000"/>
          <w:sz w:val="16"/>
          <w:szCs w:val="16"/>
        </w:rPr>
        <w:t>In Clause 11, the optional language does not apply;</w:t>
      </w:r>
    </w:p>
    <w:p w14:paraId="057C6BA0"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All square brackets in Clause 13 are removed;</w:t>
      </w:r>
    </w:p>
    <w:p w14:paraId="1139997E"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 xml:space="preserve">In Clause 17 (Option 1), the EEA SCCs will be governed by the laws of </w:t>
      </w:r>
      <w:r>
        <w:rPr>
          <w:rFonts w:ascii="Arial" w:eastAsia="Arial" w:hAnsi="Arial" w:cs="Arial"/>
          <w:b/>
          <w:color w:val="107087"/>
          <w:sz w:val="16"/>
          <w:szCs w:val="16"/>
        </w:rPr>
        <w:t>Governing Member State</w:t>
      </w:r>
      <w:r>
        <w:rPr>
          <w:rFonts w:ascii="Arial" w:eastAsia="Arial" w:hAnsi="Arial" w:cs="Arial"/>
          <w:color w:val="000000"/>
          <w:sz w:val="16"/>
          <w:szCs w:val="16"/>
        </w:rPr>
        <w:t>;</w:t>
      </w:r>
    </w:p>
    <w:p w14:paraId="69C22B5F"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 xml:space="preserve">In Clause 18(b), disputes will be resolved in the courts of the </w:t>
      </w:r>
      <w:r>
        <w:rPr>
          <w:rFonts w:ascii="Arial" w:eastAsia="Arial" w:hAnsi="Arial" w:cs="Arial"/>
          <w:b/>
          <w:color w:val="107087"/>
          <w:sz w:val="16"/>
          <w:szCs w:val="16"/>
        </w:rPr>
        <w:t>Governing Member State</w:t>
      </w:r>
      <w:r>
        <w:rPr>
          <w:rFonts w:ascii="Arial" w:eastAsia="Arial" w:hAnsi="Arial" w:cs="Arial"/>
          <w:color w:val="000000"/>
          <w:sz w:val="16"/>
          <w:szCs w:val="16"/>
        </w:rPr>
        <w:t>; and</w:t>
      </w:r>
    </w:p>
    <w:p w14:paraId="5906C8FB" w14:textId="77777777" w:rsidR="00170C6E" w:rsidRDefault="00000000">
      <w:pPr>
        <w:numPr>
          <w:ilvl w:val="3"/>
          <w:numId w:val="1"/>
        </w:numPr>
        <w:pBdr>
          <w:top w:val="nil"/>
          <w:left w:val="nil"/>
          <w:bottom w:val="nil"/>
          <w:right w:val="nil"/>
          <w:between w:val="nil"/>
        </w:pBdr>
        <w:spacing w:after="120"/>
        <w:rPr>
          <w:rFonts w:ascii="Arial" w:eastAsia="Arial" w:hAnsi="Arial" w:cs="Arial"/>
          <w:color w:val="000000"/>
          <w:sz w:val="16"/>
          <w:szCs w:val="16"/>
        </w:rPr>
      </w:pPr>
      <w:r>
        <w:rPr>
          <w:rFonts w:ascii="Arial" w:eastAsia="Arial" w:hAnsi="Arial" w:cs="Arial"/>
          <w:color w:val="000000"/>
          <w:sz w:val="16"/>
          <w:szCs w:val="16"/>
        </w:rPr>
        <w:t>The Cover Page to this DPA contains the information required in Annex I, Annex II, and Annex III of the EEA SCCs.</w:t>
      </w:r>
    </w:p>
    <w:p w14:paraId="74592D7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Ex-UK Transfers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agree that if the UK GDPR protects the transfer of Customer Personal Data, the transfer is from </w:t>
      </w:r>
      <w:r>
        <w:rPr>
          <w:rFonts w:ascii="Arial" w:eastAsia="Arial" w:hAnsi="Arial" w:cs="Arial"/>
          <w:b/>
          <w:color w:val="107087"/>
          <w:sz w:val="16"/>
          <w:szCs w:val="16"/>
        </w:rPr>
        <w:t>Customer</w:t>
      </w:r>
      <w:r>
        <w:rPr>
          <w:rFonts w:ascii="Arial" w:eastAsia="Arial" w:hAnsi="Arial" w:cs="Arial"/>
          <w:color w:val="000000"/>
          <w:sz w:val="16"/>
          <w:szCs w:val="16"/>
        </w:rPr>
        <w:t xml:space="preserve"> from within the United Kingdom to </w:t>
      </w:r>
      <w:r>
        <w:rPr>
          <w:rFonts w:ascii="Arial" w:eastAsia="Arial" w:hAnsi="Arial" w:cs="Arial"/>
          <w:b/>
          <w:color w:val="107087"/>
          <w:sz w:val="16"/>
          <w:szCs w:val="16"/>
        </w:rPr>
        <w:t>Provider</w:t>
      </w:r>
      <w:r>
        <w:rPr>
          <w:rFonts w:ascii="Arial" w:eastAsia="Arial" w:hAnsi="Arial" w:cs="Arial"/>
          <w:color w:val="000000"/>
          <w:sz w:val="16"/>
          <w:szCs w:val="16"/>
        </w:rPr>
        <w:t xml:space="preserve"> outside of the United Kingdom, and the transfer is not governed by an adequacy decision made by the United Kingdom Secretary of State, then by entering into this DPA,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are deemed to have signed the UK Addendum and their Annexes, which are incorporated by reference. Any such transfer is made pursuant to the UK Addendum, which is completed as follows:</w:t>
      </w:r>
    </w:p>
    <w:p w14:paraId="1C32C1E5"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Section 3.2 of this DPA contains the information required in Table 2 of the UK Addendum. </w:t>
      </w:r>
    </w:p>
    <w:p w14:paraId="62452B8E"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Table 4 of the UK Addendum is modified as follows: Neither party may end the UK Addendum as set out in Section 19 of the UK Addendum; to the extent ICO issues a revised Approved Addendum under Section ‎18 of the UK Addendum, the parties will work in good faith to revise this DPA accordingly.</w:t>
      </w:r>
    </w:p>
    <w:p w14:paraId="12A4DDBA"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The Cover Page contains the information required by Annex 1A, Annex 1B, Annex II, and Annex III of the UK Addendum.</w:t>
      </w:r>
    </w:p>
    <w:p w14:paraId="59DAD4B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Other International Transfers</w:t>
      </w:r>
      <w:r>
        <w:rPr>
          <w:rFonts w:ascii="Arial" w:eastAsia="Arial" w:hAnsi="Arial" w:cs="Arial"/>
          <w:color w:val="000000"/>
          <w:sz w:val="16"/>
          <w:szCs w:val="16"/>
        </w:rPr>
        <w:t>.  For Personal Data transfers where Swiss law (and not the law in any EEA member state or the United Kingdom) applies to the international nature of the transfer, references to the GDPR in Clause 4 of the EEA SCCs are, to the extent legally required, amended to refer to the Swiss Federal Data Protection Act or its successor instead, and the concept of supervisory authority will include the Swiss Federal Data Protection and Information Commissioner.</w:t>
      </w:r>
    </w:p>
    <w:p w14:paraId="3B1ED6B5"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Security Incident Response</w:t>
      </w:r>
    </w:p>
    <w:p w14:paraId="291FA503" w14:textId="77777777" w:rsidR="00170C6E" w:rsidRDefault="00000000">
      <w:pPr>
        <w:spacing w:after="120"/>
        <w:rPr>
          <w:rFonts w:ascii="Arial" w:eastAsia="Arial" w:hAnsi="Arial" w:cs="Arial"/>
          <w:sz w:val="16"/>
          <w:szCs w:val="16"/>
        </w:rPr>
      </w:pPr>
      <w:r>
        <w:rPr>
          <w:rFonts w:ascii="Arial" w:eastAsia="Arial" w:hAnsi="Arial" w:cs="Arial"/>
          <w:sz w:val="16"/>
          <w:szCs w:val="16"/>
        </w:rPr>
        <w:t xml:space="preserve">Upon becoming aware of any Security Incident, </w:t>
      </w:r>
      <w:r>
        <w:rPr>
          <w:rFonts w:ascii="Arial" w:eastAsia="Arial" w:hAnsi="Arial" w:cs="Arial"/>
          <w:b/>
          <w:color w:val="107087"/>
          <w:sz w:val="16"/>
          <w:szCs w:val="16"/>
        </w:rPr>
        <w:t>Provider</w:t>
      </w:r>
      <w:r>
        <w:rPr>
          <w:rFonts w:ascii="Arial" w:eastAsia="Arial" w:hAnsi="Arial" w:cs="Arial"/>
          <w:sz w:val="16"/>
          <w:szCs w:val="16"/>
        </w:rPr>
        <w:t xml:space="preserve"> will: (a) notify </w:t>
      </w:r>
      <w:r>
        <w:rPr>
          <w:rFonts w:ascii="Arial" w:eastAsia="Arial" w:hAnsi="Arial" w:cs="Arial"/>
          <w:b/>
          <w:color w:val="107087"/>
          <w:sz w:val="16"/>
          <w:szCs w:val="16"/>
        </w:rPr>
        <w:t>Customer</w:t>
      </w:r>
      <w:r>
        <w:rPr>
          <w:rFonts w:ascii="Arial" w:eastAsia="Arial" w:hAnsi="Arial" w:cs="Arial"/>
          <w:sz w:val="16"/>
          <w:szCs w:val="16"/>
        </w:rPr>
        <w:t xml:space="preserve"> without undue delay when feasible, but no later than 72 hours after becoming aware of the Security Incident; (b) provide timely information about the Security Incident as it becomes known or as is reasonably requested by </w:t>
      </w:r>
      <w:r>
        <w:rPr>
          <w:rFonts w:ascii="Arial" w:eastAsia="Arial" w:hAnsi="Arial" w:cs="Arial"/>
          <w:b/>
          <w:color w:val="107087"/>
          <w:sz w:val="16"/>
          <w:szCs w:val="16"/>
        </w:rPr>
        <w:t>Customer</w:t>
      </w:r>
      <w:r>
        <w:rPr>
          <w:rFonts w:ascii="Arial" w:eastAsia="Arial" w:hAnsi="Arial" w:cs="Arial"/>
          <w:sz w:val="16"/>
          <w:szCs w:val="16"/>
        </w:rPr>
        <w:t xml:space="preserve">; and (c) promptly take reasonable steps to contain and investigate the Security Incident. </w:t>
      </w:r>
      <w:r>
        <w:rPr>
          <w:rFonts w:ascii="Arial" w:eastAsia="Arial" w:hAnsi="Arial" w:cs="Arial"/>
          <w:b/>
          <w:color w:val="107087"/>
          <w:sz w:val="16"/>
          <w:szCs w:val="16"/>
        </w:rPr>
        <w:t>Provider’s</w:t>
      </w:r>
      <w:r>
        <w:rPr>
          <w:rFonts w:ascii="Arial" w:eastAsia="Arial" w:hAnsi="Arial" w:cs="Arial"/>
          <w:sz w:val="16"/>
          <w:szCs w:val="16"/>
        </w:rPr>
        <w:t xml:space="preserve"> notification of or response to a Security Incident as required by this DPA will not be construed as an acknowledgment by </w:t>
      </w:r>
      <w:r>
        <w:rPr>
          <w:rFonts w:ascii="Arial" w:eastAsia="Arial" w:hAnsi="Arial" w:cs="Arial"/>
          <w:b/>
          <w:color w:val="107087"/>
          <w:sz w:val="16"/>
          <w:szCs w:val="16"/>
        </w:rPr>
        <w:t>Provider</w:t>
      </w:r>
      <w:r>
        <w:rPr>
          <w:rFonts w:ascii="Arial" w:eastAsia="Arial" w:hAnsi="Arial" w:cs="Arial"/>
          <w:sz w:val="16"/>
          <w:szCs w:val="16"/>
        </w:rPr>
        <w:t xml:space="preserve"> of any fault or liability for the Security Incident.</w:t>
      </w:r>
    </w:p>
    <w:p w14:paraId="3E0A33F7"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Audit &amp; Reports</w:t>
      </w:r>
    </w:p>
    <w:p w14:paraId="2878565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Audit Rights</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give </w:t>
      </w:r>
      <w:r>
        <w:rPr>
          <w:rFonts w:ascii="Arial" w:eastAsia="Arial" w:hAnsi="Arial" w:cs="Arial"/>
          <w:b/>
          <w:color w:val="107087"/>
          <w:sz w:val="16"/>
          <w:szCs w:val="16"/>
        </w:rPr>
        <w:t>Customer</w:t>
      </w:r>
      <w:r>
        <w:rPr>
          <w:rFonts w:ascii="Arial" w:eastAsia="Arial" w:hAnsi="Arial" w:cs="Arial"/>
          <w:color w:val="000000"/>
          <w:sz w:val="16"/>
          <w:szCs w:val="16"/>
        </w:rPr>
        <w:t xml:space="preserve"> all information reasonably necessary to demonstrate its compliance with this DPA and </w:t>
      </w:r>
      <w:r>
        <w:rPr>
          <w:rFonts w:ascii="Arial" w:eastAsia="Arial" w:hAnsi="Arial" w:cs="Arial"/>
          <w:b/>
          <w:color w:val="107087"/>
          <w:sz w:val="16"/>
          <w:szCs w:val="16"/>
        </w:rPr>
        <w:t>Provider</w:t>
      </w:r>
      <w:r>
        <w:rPr>
          <w:rFonts w:ascii="Arial" w:eastAsia="Arial" w:hAnsi="Arial" w:cs="Arial"/>
          <w:color w:val="000000"/>
          <w:sz w:val="16"/>
          <w:szCs w:val="16"/>
        </w:rPr>
        <w:t xml:space="preserve"> will allow for and contribute to audits, including inspections by </w:t>
      </w:r>
      <w:r>
        <w:rPr>
          <w:rFonts w:ascii="Arial" w:eastAsia="Arial" w:hAnsi="Arial" w:cs="Arial"/>
          <w:b/>
          <w:color w:val="107087"/>
          <w:sz w:val="16"/>
          <w:szCs w:val="16"/>
        </w:rPr>
        <w:t>Customer</w:t>
      </w:r>
      <w:r>
        <w:rPr>
          <w:rFonts w:ascii="Arial" w:eastAsia="Arial" w:hAnsi="Arial" w:cs="Arial"/>
          <w:color w:val="000000"/>
          <w:sz w:val="16"/>
          <w:szCs w:val="16"/>
        </w:rPr>
        <w:t xml:space="preserve">, to assess </w:t>
      </w:r>
      <w:r>
        <w:rPr>
          <w:rFonts w:ascii="Arial" w:eastAsia="Arial" w:hAnsi="Arial" w:cs="Arial"/>
          <w:b/>
          <w:color w:val="107087"/>
          <w:sz w:val="16"/>
          <w:szCs w:val="16"/>
        </w:rPr>
        <w:t>Provider’s</w:t>
      </w:r>
      <w:r>
        <w:rPr>
          <w:rFonts w:ascii="Arial" w:eastAsia="Arial" w:hAnsi="Arial" w:cs="Arial"/>
          <w:color w:val="000000"/>
          <w:sz w:val="16"/>
          <w:szCs w:val="16"/>
        </w:rPr>
        <w:t xml:space="preserve"> compliance with this DPA. However, </w:t>
      </w:r>
      <w:r>
        <w:rPr>
          <w:rFonts w:ascii="Arial" w:eastAsia="Arial" w:hAnsi="Arial" w:cs="Arial"/>
          <w:b/>
          <w:color w:val="107087"/>
          <w:sz w:val="16"/>
          <w:szCs w:val="16"/>
        </w:rPr>
        <w:t>Provider</w:t>
      </w:r>
      <w:r>
        <w:rPr>
          <w:rFonts w:ascii="Arial" w:eastAsia="Arial" w:hAnsi="Arial" w:cs="Arial"/>
          <w:color w:val="000000"/>
          <w:sz w:val="16"/>
          <w:szCs w:val="16"/>
        </w:rPr>
        <w:t xml:space="preserve"> may restrict access to data or information if </w:t>
      </w:r>
      <w:r>
        <w:rPr>
          <w:rFonts w:ascii="Arial" w:eastAsia="Arial" w:hAnsi="Arial" w:cs="Arial"/>
          <w:b/>
          <w:color w:val="107087"/>
          <w:sz w:val="16"/>
          <w:szCs w:val="16"/>
        </w:rPr>
        <w:t>Customer’s</w:t>
      </w:r>
      <w:r>
        <w:rPr>
          <w:rFonts w:ascii="Arial" w:eastAsia="Arial" w:hAnsi="Arial" w:cs="Arial"/>
          <w:color w:val="000000"/>
          <w:sz w:val="16"/>
          <w:szCs w:val="16"/>
        </w:rPr>
        <w:t xml:space="preserve"> access to the information would negatively impact </w:t>
      </w:r>
      <w:r>
        <w:rPr>
          <w:rFonts w:ascii="Arial" w:eastAsia="Arial" w:hAnsi="Arial" w:cs="Arial"/>
          <w:b/>
          <w:color w:val="107087"/>
          <w:sz w:val="16"/>
          <w:szCs w:val="16"/>
        </w:rPr>
        <w:t>Provider’s</w:t>
      </w:r>
      <w:r>
        <w:rPr>
          <w:rFonts w:ascii="Arial" w:eastAsia="Arial" w:hAnsi="Arial" w:cs="Arial"/>
          <w:color w:val="000000"/>
          <w:sz w:val="16"/>
          <w:szCs w:val="16"/>
        </w:rPr>
        <w:t xml:space="preserve"> intellectual property rights, confidentiality obligations, or other obligations under Applicable Laws. </w:t>
      </w:r>
      <w:r>
        <w:rPr>
          <w:rFonts w:ascii="Arial" w:eastAsia="Arial" w:hAnsi="Arial" w:cs="Arial"/>
          <w:b/>
          <w:color w:val="107087"/>
          <w:sz w:val="16"/>
          <w:szCs w:val="16"/>
        </w:rPr>
        <w:t>Customer</w:t>
      </w:r>
      <w:r>
        <w:rPr>
          <w:rFonts w:ascii="Arial" w:eastAsia="Arial" w:hAnsi="Arial" w:cs="Arial"/>
          <w:color w:val="000000"/>
          <w:sz w:val="16"/>
          <w:szCs w:val="16"/>
        </w:rPr>
        <w:t xml:space="preserve"> acknowledges and agrees that it will only exercise its audit rights under this DPA and any audit rights granted by Applicable Data Protection Laws by instructing </w:t>
      </w:r>
      <w:r>
        <w:rPr>
          <w:rFonts w:ascii="Arial" w:eastAsia="Arial" w:hAnsi="Arial" w:cs="Arial"/>
          <w:b/>
          <w:color w:val="107087"/>
          <w:sz w:val="16"/>
          <w:szCs w:val="16"/>
        </w:rPr>
        <w:t>Provider</w:t>
      </w:r>
      <w:r>
        <w:rPr>
          <w:rFonts w:ascii="Arial" w:eastAsia="Arial" w:hAnsi="Arial" w:cs="Arial"/>
          <w:color w:val="000000"/>
          <w:sz w:val="16"/>
          <w:szCs w:val="16"/>
        </w:rPr>
        <w:t xml:space="preserve"> to comply with the reporting and due diligence requirements below. </w:t>
      </w:r>
      <w:r>
        <w:rPr>
          <w:rFonts w:ascii="Arial" w:eastAsia="Arial" w:hAnsi="Arial" w:cs="Arial"/>
          <w:b/>
          <w:color w:val="107087"/>
          <w:sz w:val="16"/>
          <w:szCs w:val="16"/>
        </w:rPr>
        <w:t>Provider</w:t>
      </w:r>
      <w:r>
        <w:rPr>
          <w:rFonts w:ascii="Arial" w:eastAsia="Arial" w:hAnsi="Arial" w:cs="Arial"/>
          <w:color w:val="000000"/>
          <w:sz w:val="16"/>
          <w:szCs w:val="16"/>
        </w:rPr>
        <w:t xml:space="preserve"> will maintain records of its compliance with this DPA for 3 years after the DPA ends.</w:t>
      </w:r>
    </w:p>
    <w:p w14:paraId="2B94DF4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Security Reports</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acknowledges that </w:t>
      </w:r>
      <w:r>
        <w:rPr>
          <w:rFonts w:ascii="Arial" w:eastAsia="Arial" w:hAnsi="Arial" w:cs="Arial"/>
          <w:b/>
          <w:color w:val="107087"/>
          <w:sz w:val="16"/>
          <w:szCs w:val="16"/>
        </w:rPr>
        <w:t>Provider</w:t>
      </w:r>
      <w:r>
        <w:rPr>
          <w:rFonts w:ascii="Arial" w:eastAsia="Arial" w:hAnsi="Arial" w:cs="Arial"/>
          <w:color w:val="000000"/>
          <w:sz w:val="16"/>
          <w:szCs w:val="16"/>
        </w:rPr>
        <w:t xml:space="preserve"> is regularly audited against the standards defined in the </w:t>
      </w:r>
      <w:r>
        <w:rPr>
          <w:rFonts w:ascii="Arial" w:eastAsia="Arial" w:hAnsi="Arial" w:cs="Arial"/>
          <w:b/>
          <w:color w:val="107087"/>
          <w:sz w:val="16"/>
          <w:szCs w:val="16"/>
        </w:rPr>
        <w:t>Security</w:t>
      </w:r>
      <w:r>
        <w:rPr>
          <w:rFonts w:ascii="Arial" w:eastAsia="Arial" w:hAnsi="Arial" w:cs="Arial"/>
          <w:b/>
          <w:color w:val="000000"/>
          <w:sz w:val="16"/>
          <w:szCs w:val="16"/>
        </w:rPr>
        <w:t xml:space="preserve"> </w:t>
      </w:r>
      <w:r>
        <w:rPr>
          <w:rFonts w:ascii="Arial" w:eastAsia="Arial" w:hAnsi="Arial" w:cs="Arial"/>
          <w:b/>
          <w:color w:val="107087"/>
          <w:sz w:val="16"/>
          <w:szCs w:val="16"/>
        </w:rPr>
        <w:t>Policy</w:t>
      </w:r>
      <w:r>
        <w:rPr>
          <w:rFonts w:ascii="Arial" w:eastAsia="Arial" w:hAnsi="Arial" w:cs="Arial"/>
          <w:color w:val="000000"/>
          <w:sz w:val="16"/>
          <w:szCs w:val="16"/>
        </w:rPr>
        <w:t xml:space="preserve"> by independent third-party auditors. Upon written request, </w:t>
      </w:r>
      <w:r>
        <w:rPr>
          <w:rFonts w:ascii="Arial" w:eastAsia="Arial" w:hAnsi="Arial" w:cs="Arial"/>
          <w:b/>
          <w:color w:val="107087"/>
          <w:sz w:val="16"/>
          <w:szCs w:val="16"/>
        </w:rPr>
        <w:t>Provider</w:t>
      </w:r>
      <w:r>
        <w:rPr>
          <w:rFonts w:ascii="Arial" w:eastAsia="Arial" w:hAnsi="Arial" w:cs="Arial"/>
          <w:color w:val="000000"/>
          <w:sz w:val="16"/>
          <w:szCs w:val="16"/>
        </w:rPr>
        <w:t xml:space="preserve"> will give </w:t>
      </w:r>
      <w:r>
        <w:rPr>
          <w:rFonts w:ascii="Arial" w:eastAsia="Arial" w:hAnsi="Arial" w:cs="Arial"/>
          <w:b/>
          <w:color w:val="107087"/>
          <w:sz w:val="16"/>
          <w:szCs w:val="16"/>
        </w:rPr>
        <w:t>Customer</w:t>
      </w:r>
      <w:r>
        <w:rPr>
          <w:rFonts w:ascii="Arial" w:eastAsia="Arial" w:hAnsi="Arial" w:cs="Arial"/>
          <w:color w:val="000000"/>
          <w:sz w:val="16"/>
          <w:szCs w:val="16"/>
        </w:rPr>
        <w:t xml:space="preserve">, on a confidential basis, a summary copy of its then-current Report so that </w:t>
      </w:r>
      <w:r>
        <w:rPr>
          <w:rFonts w:ascii="Arial" w:eastAsia="Arial" w:hAnsi="Arial" w:cs="Arial"/>
          <w:b/>
          <w:color w:val="107087"/>
          <w:sz w:val="16"/>
          <w:szCs w:val="16"/>
        </w:rPr>
        <w:t>Customer</w:t>
      </w:r>
      <w:r>
        <w:rPr>
          <w:rFonts w:ascii="Arial" w:eastAsia="Arial" w:hAnsi="Arial" w:cs="Arial"/>
          <w:color w:val="000000"/>
          <w:sz w:val="16"/>
          <w:szCs w:val="16"/>
        </w:rPr>
        <w:t xml:space="preserve"> can verify </w:t>
      </w:r>
      <w:r>
        <w:rPr>
          <w:rFonts w:ascii="Arial" w:eastAsia="Arial" w:hAnsi="Arial" w:cs="Arial"/>
          <w:b/>
          <w:color w:val="107087"/>
          <w:sz w:val="16"/>
          <w:szCs w:val="16"/>
        </w:rPr>
        <w:t>Provider’s</w:t>
      </w:r>
      <w:r>
        <w:rPr>
          <w:rFonts w:ascii="Arial" w:eastAsia="Arial" w:hAnsi="Arial" w:cs="Arial"/>
          <w:color w:val="000000"/>
          <w:sz w:val="16"/>
          <w:szCs w:val="16"/>
        </w:rPr>
        <w:t xml:space="preserve"> compliance with the standards defined in the </w:t>
      </w:r>
      <w:r>
        <w:rPr>
          <w:rFonts w:ascii="Arial" w:eastAsia="Arial" w:hAnsi="Arial" w:cs="Arial"/>
          <w:b/>
          <w:color w:val="107087"/>
          <w:sz w:val="16"/>
          <w:szCs w:val="16"/>
        </w:rPr>
        <w:t>Security</w:t>
      </w:r>
      <w:r>
        <w:rPr>
          <w:rFonts w:ascii="Arial" w:eastAsia="Arial" w:hAnsi="Arial" w:cs="Arial"/>
          <w:b/>
          <w:color w:val="000000"/>
          <w:sz w:val="16"/>
          <w:szCs w:val="16"/>
        </w:rPr>
        <w:t xml:space="preserve"> </w:t>
      </w:r>
      <w:r>
        <w:rPr>
          <w:rFonts w:ascii="Arial" w:eastAsia="Arial" w:hAnsi="Arial" w:cs="Arial"/>
          <w:b/>
          <w:color w:val="107087"/>
          <w:sz w:val="16"/>
          <w:szCs w:val="16"/>
        </w:rPr>
        <w:t>Policy</w:t>
      </w:r>
      <w:r>
        <w:rPr>
          <w:rFonts w:ascii="Arial" w:eastAsia="Arial" w:hAnsi="Arial" w:cs="Arial"/>
          <w:color w:val="000000"/>
          <w:sz w:val="16"/>
          <w:szCs w:val="16"/>
        </w:rPr>
        <w:t>.</w:t>
      </w:r>
    </w:p>
    <w:p w14:paraId="0946B64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Security Due Diligence</w:t>
      </w:r>
      <w:r>
        <w:rPr>
          <w:rFonts w:ascii="Arial" w:eastAsia="Arial" w:hAnsi="Arial" w:cs="Arial"/>
          <w:color w:val="000000"/>
          <w:sz w:val="16"/>
          <w:szCs w:val="16"/>
        </w:rPr>
        <w:t xml:space="preserve">.  In addition to the Report, </w:t>
      </w:r>
      <w:r>
        <w:rPr>
          <w:rFonts w:ascii="Arial" w:eastAsia="Arial" w:hAnsi="Arial" w:cs="Arial"/>
          <w:b/>
          <w:color w:val="107087"/>
          <w:sz w:val="16"/>
          <w:szCs w:val="16"/>
        </w:rPr>
        <w:t>Provider</w:t>
      </w:r>
      <w:r>
        <w:rPr>
          <w:rFonts w:ascii="Arial" w:eastAsia="Arial" w:hAnsi="Arial" w:cs="Arial"/>
          <w:color w:val="000000"/>
          <w:sz w:val="16"/>
          <w:szCs w:val="16"/>
        </w:rPr>
        <w:t xml:space="preserve"> will respond to reasonable requests for information made by </w:t>
      </w:r>
      <w:r>
        <w:rPr>
          <w:rFonts w:ascii="Arial" w:eastAsia="Arial" w:hAnsi="Arial" w:cs="Arial"/>
          <w:b/>
          <w:color w:val="107087"/>
          <w:sz w:val="16"/>
          <w:szCs w:val="16"/>
        </w:rPr>
        <w:t>Customer</w:t>
      </w:r>
      <w:r>
        <w:rPr>
          <w:rFonts w:ascii="Arial" w:eastAsia="Arial" w:hAnsi="Arial" w:cs="Arial"/>
          <w:color w:val="000000"/>
          <w:sz w:val="16"/>
          <w:szCs w:val="16"/>
        </w:rPr>
        <w:t xml:space="preserve"> to confirm </w:t>
      </w:r>
      <w:r>
        <w:rPr>
          <w:rFonts w:ascii="Arial" w:eastAsia="Arial" w:hAnsi="Arial" w:cs="Arial"/>
          <w:b/>
          <w:color w:val="107087"/>
          <w:sz w:val="16"/>
          <w:szCs w:val="16"/>
        </w:rPr>
        <w:t>Provider’s</w:t>
      </w:r>
      <w:r>
        <w:rPr>
          <w:rFonts w:ascii="Arial" w:eastAsia="Arial" w:hAnsi="Arial" w:cs="Arial"/>
          <w:color w:val="000000"/>
          <w:sz w:val="16"/>
          <w:szCs w:val="16"/>
        </w:rPr>
        <w:t xml:space="preserve"> compliance with this DPA, including responses to information security, due diligence, and audit questionnaires, or by giving additional information about its information security program. All such requests must be in writing and made to the </w:t>
      </w:r>
      <w:r>
        <w:rPr>
          <w:rFonts w:ascii="Arial" w:eastAsia="Arial" w:hAnsi="Arial" w:cs="Arial"/>
          <w:b/>
          <w:color w:val="107087"/>
          <w:sz w:val="16"/>
          <w:szCs w:val="16"/>
        </w:rPr>
        <w:t>Provider</w:t>
      </w:r>
      <w:r>
        <w:rPr>
          <w:rFonts w:ascii="Arial" w:eastAsia="Arial" w:hAnsi="Arial" w:cs="Arial"/>
          <w:b/>
          <w:color w:val="000000"/>
          <w:sz w:val="16"/>
          <w:szCs w:val="16"/>
        </w:rPr>
        <w:t xml:space="preserve"> </w:t>
      </w:r>
      <w:r>
        <w:rPr>
          <w:rFonts w:ascii="Arial" w:eastAsia="Arial" w:hAnsi="Arial" w:cs="Arial"/>
          <w:b/>
          <w:color w:val="107087"/>
          <w:sz w:val="16"/>
          <w:szCs w:val="16"/>
        </w:rPr>
        <w:t>Security</w:t>
      </w:r>
      <w:r>
        <w:rPr>
          <w:rFonts w:ascii="Arial" w:eastAsia="Arial" w:hAnsi="Arial" w:cs="Arial"/>
          <w:b/>
          <w:color w:val="000000"/>
          <w:sz w:val="16"/>
          <w:szCs w:val="16"/>
        </w:rPr>
        <w:t xml:space="preserve"> </w:t>
      </w:r>
      <w:r>
        <w:rPr>
          <w:rFonts w:ascii="Arial" w:eastAsia="Arial" w:hAnsi="Arial" w:cs="Arial"/>
          <w:b/>
          <w:color w:val="107087"/>
          <w:sz w:val="16"/>
          <w:szCs w:val="16"/>
        </w:rPr>
        <w:t>Contact</w:t>
      </w:r>
      <w:r>
        <w:rPr>
          <w:rFonts w:ascii="Arial" w:eastAsia="Arial" w:hAnsi="Arial" w:cs="Arial"/>
          <w:b/>
          <w:color w:val="000000"/>
          <w:sz w:val="16"/>
          <w:szCs w:val="16"/>
        </w:rPr>
        <w:t xml:space="preserve"> </w:t>
      </w:r>
      <w:r>
        <w:rPr>
          <w:rFonts w:ascii="Arial" w:eastAsia="Arial" w:hAnsi="Arial" w:cs="Arial"/>
          <w:color w:val="000000"/>
          <w:sz w:val="16"/>
          <w:szCs w:val="16"/>
        </w:rPr>
        <w:t>and may only be made once a year.</w:t>
      </w:r>
    </w:p>
    <w:p w14:paraId="78CBBBEC"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Coordination &amp; Cooperation</w:t>
      </w:r>
    </w:p>
    <w:p w14:paraId="3AF54FC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Response to Inquiries</w:t>
      </w:r>
      <w:r>
        <w:rPr>
          <w:rFonts w:ascii="Arial" w:eastAsia="Arial" w:hAnsi="Arial" w:cs="Arial"/>
          <w:color w:val="000000"/>
          <w:sz w:val="16"/>
          <w:szCs w:val="16"/>
        </w:rPr>
        <w:t xml:space="preserve">.  If </w:t>
      </w:r>
      <w:r>
        <w:rPr>
          <w:rFonts w:ascii="Arial" w:eastAsia="Arial" w:hAnsi="Arial" w:cs="Arial"/>
          <w:b/>
          <w:color w:val="107087"/>
          <w:sz w:val="16"/>
          <w:szCs w:val="16"/>
        </w:rPr>
        <w:t>Provider</w:t>
      </w:r>
      <w:r>
        <w:rPr>
          <w:rFonts w:ascii="Arial" w:eastAsia="Arial" w:hAnsi="Arial" w:cs="Arial"/>
          <w:color w:val="000000"/>
          <w:sz w:val="16"/>
          <w:szCs w:val="16"/>
        </w:rPr>
        <w:t xml:space="preserve"> receives any inquiry or request from anyone else about the Processing of Customer Personal Data, </w:t>
      </w:r>
      <w:r>
        <w:rPr>
          <w:rFonts w:ascii="Arial" w:eastAsia="Arial" w:hAnsi="Arial" w:cs="Arial"/>
          <w:b/>
          <w:color w:val="107087"/>
          <w:sz w:val="16"/>
          <w:szCs w:val="16"/>
        </w:rPr>
        <w:t>Provider</w:t>
      </w:r>
      <w:r>
        <w:rPr>
          <w:rFonts w:ascii="Arial" w:eastAsia="Arial" w:hAnsi="Arial" w:cs="Arial"/>
          <w:color w:val="000000"/>
          <w:sz w:val="16"/>
          <w:szCs w:val="16"/>
        </w:rPr>
        <w:t xml:space="preserve"> will notify </w:t>
      </w:r>
      <w:r>
        <w:rPr>
          <w:rFonts w:ascii="Arial" w:eastAsia="Arial" w:hAnsi="Arial" w:cs="Arial"/>
          <w:b/>
          <w:color w:val="107087"/>
          <w:sz w:val="16"/>
          <w:szCs w:val="16"/>
        </w:rPr>
        <w:t>Customer</w:t>
      </w:r>
      <w:r>
        <w:rPr>
          <w:rFonts w:ascii="Arial" w:eastAsia="Arial" w:hAnsi="Arial" w:cs="Arial"/>
          <w:color w:val="000000"/>
          <w:sz w:val="16"/>
          <w:szCs w:val="16"/>
        </w:rPr>
        <w:t xml:space="preserve"> about the request and </w:t>
      </w:r>
      <w:r>
        <w:rPr>
          <w:rFonts w:ascii="Arial" w:eastAsia="Arial" w:hAnsi="Arial" w:cs="Arial"/>
          <w:b/>
          <w:color w:val="107087"/>
          <w:sz w:val="16"/>
          <w:szCs w:val="16"/>
        </w:rPr>
        <w:t>Provider</w:t>
      </w:r>
      <w:r>
        <w:rPr>
          <w:rFonts w:ascii="Arial" w:eastAsia="Arial" w:hAnsi="Arial" w:cs="Arial"/>
          <w:color w:val="000000"/>
          <w:sz w:val="16"/>
          <w:szCs w:val="16"/>
        </w:rPr>
        <w:t xml:space="preserve"> will not respond to the request without </w:t>
      </w:r>
      <w:r>
        <w:rPr>
          <w:rFonts w:ascii="Arial" w:eastAsia="Arial" w:hAnsi="Arial" w:cs="Arial"/>
          <w:b/>
          <w:color w:val="107087"/>
          <w:sz w:val="16"/>
          <w:szCs w:val="16"/>
        </w:rPr>
        <w:t>Customer’s</w:t>
      </w:r>
      <w:r>
        <w:rPr>
          <w:rFonts w:ascii="Arial" w:eastAsia="Arial" w:hAnsi="Arial" w:cs="Arial"/>
          <w:color w:val="000000"/>
          <w:sz w:val="16"/>
          <w:szCs w:val="16"/>
        </w:rPr>
        <w:t xml:space="preserve"> prior consent. Examples of these kinds of inquiries and requests include a judicial or administrative or regulatory agency order about Customer Personal Data where notifying </w:t>
      </w:r>
      <w:r>
        <w:rPr>
          <w:rFonts w:ascii="Arial" w:eastAsia="Arial" w:hAnsi="Arial" w:cs="Arial"/>
          <w:b/>
          <w:color w:val="107087"/>
          <w:sz w:val="16"/>
          <w:szCs w:val="16"/>
        </w:rPr>
        <w:t>Customer</w:t>
      </w:r>
      <w:r>
        <w:rPr>
          <w:rFonts w:ascii="Arial" w:eastAsia="Arial" w:hAnsi="Arial" w:cs="Arial"/>
          <w:color w:val="000000"/>
          <w:sz w:val="16"/>
          <w:szCs w:val="16"/>
        </w:rPr>
        <w:t xml:space="preserve"> is not prohibited by Applicable Law, or a request from a data subject. If allowed by Applicable Law, </w:t>
      </w:r>
      <w:r>
        <w:rPr>
          <w:rFonts w:ascii="Arial" w:eastAsia="Arial" w:hAnsi="Arial" w:cs="Arial"/>
          <w:b/>
          <w:color w:val="107087"/>
          <w:sz w:val="16"/>
          <w:szCs w:val="16"/>
        </w:rPr>
        <w:t>Provider</w:t>
      </w:r>
      <w:r>
        <w:rPr>
          <w:rFonts w:ascii="Arial" w:eastAsia="Arial" w:hAnsi="Arial" w:cs="Arial"/>
          <w:color w:val="000000"/>
          <w:sz w:val="16"/>
          <w:szCs w:val="16"/>
        </w:rPr>
        <w:t xml:space="preserve"> will follow </w:t>
      </w:r>
      <w:r>
        <w:rPr>
          <w:rFonts w:ascii="Arial" w:eastAsia="Arial" w:hAnsi="Arial" w:cs="Arial"/>
          <w:b/>
          <w:color w:val="107087"/>
          <w:sz w:val="16"/>
          <w:szCs w:val="16"/>
        </w:rPr>
        <w:t>Customer’s</w:t>
      </w:r>
      <w:r>
        <w:rPr>
          <w:rFonts w:ascii="Arial" w:eastAsia="Arial" w:hAnsi="Arial" w:cs="Arial"/>
          <w:color w:val="000000"/>
          <w:sz w:val="16"/>
          <w:szCs w:val="16"/>
        </w:rPr>
        <w:t xml:space="preserve"> reasonable instructions about these requests, including providing status updates and other information reasonably requested by </w:t>
      </w:r>
      <w:r>
        <w:rPr>
          <w:rFonts w:ascii="Arial" w:eastAsia="Arial" w:hAnsi="Arial" w:cs="Arial"/>
          <w:b/>
          <w:color w:val="107087"/>
          <w:sz w:val="16"/>
          <w:szCs w:val="16"/>
        </w:rPr>
        <w:t>Customer</w:t>
      </w:r>
      <w:r>
        <w:rPr>
          <w:rFonts w:ascii="Arial" w:eastAsia="Arial" w:hAnsi="Arial" w:cs="Arial"/>
          <w:color w:val="000000"/>
          <w:sz w:val="16"/>
          <w:szCs w:val="16"/>
        </w:rPr>
        <w:t xml:space="preserve">. If a data subject makes a valid request under Applicable Data Protection Laws to delete or opt out of </w:t>
      </w:r>
      <w:r>
        <w:rPr>
          <w:rFonts w:ascii="Arial" w:eastAsia="Arial" w:hAnsi="Arial" w:cs="Arial"/>
          <w:b/>
          <w:color w:val="107087"/>
          <w:sz w:val="16"/>
          <w:szCs w:val="16"/>
        </w:rPr>
        <w:t>Customer’s</w:t>
      </w:r>
      <w:r>
        <w:rPr>
          <w:rFonts w:ascii="Arial" w:eastAsia="Arial" w:hAnsi="Arial" w:cs="Arial"/>
          <w:color w:val="000000"/>
          <w:sz w:val="16"/>
          <w:szCs w:val="16"/>
        </w:rPr>
        <w:t xml:space="preserve"> giving of Customer Personal Data to </w:t>
      </w:r>
      <w:r>
        <w:rPr>
          <w:rFonts w:ascii="Arial" w:eastAsia="Arial" w:hAnsi="Arial" w:cs="Arial"/>
          <w:b/>
          <w:color w:val="107087"/>
          <w:sz w:val="16"/>
          <w:szCs w:val="16"/>
        </w:rPr>
        <w:t>Provider</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assist </w:t>
      </w:r>
      <w:r>
        <w:rPr>
          <w:rFonts w:ascii="Arial" w:eastAsia="Arial" w:hAnsi="Arial" w:cs="Arial"/>
          <w:b/>
          <w:color w:val="107087"/>
          <w:sz w:val="16"/>
          <w:szCs w:val="16"/>
        </w:rPr>
        <w:t>Customer</w:t>
      </w:r>
      <w:r>
        <w:rPr>
          <w:rFonts w:ascii="Arial" w:eastAsia="Arial" w:hAnsi="Arial" w:cs="Arial"/>
          <w:color w:val="000000"/>
          <w:sz w:val="16"/>
          <w:szCs w:val="16"/>
        </w:rPr>
        <w:t xml:space="preserve"> in fulfilling the request according to the Applicable Data Protection Law. </w:t>
      </w:r>
      <w:r>
        <w:rPr>
          <w:rFonts w:ascii="Arial" w:eastAsia="Arial" w:hAnsi="Arial" w:cs="Arial"/>
          <w:b/>
          <w:color w:val="107087"/>
          <w:sz w:val="16"/>
          <w:szCs w:val="16"/>
        </w:rPr>
        <w:t>Provider</w:t>
      </w:r>
      <w:r>
        <w:rPr>
          <w:rFonts w:ascii="Arial" w:eastAsia="Arial" w:hAnsi="Arial" w:cs="Arial"/>
          <w:color w:val="000000"/>
          <w:sz w:val="16"/>
          <w:szCs w:val="16"/>
        </w:rPr>
        <w:t xml:space="preserve"> will cooperate with and provide reasonable assistance to </w:t>
      </w:r>
      <w:r>
        <w:rPr>
          <w:rFonts w:ascii="Arial" w:eastAsia="Arial" w:hAnsi="Arial" w:cs="Arial"/>
          <w:b/>
          <w:color w:val="107087"/>
          <w:sz w:val="16"/>
          <w:szCs w:val="16"/>
        </w:rPr>
        <w:t>Customer</w:t>
      </w:r>
      <w:r>
        <w:rPr>
          <w:rFonts w:ascii="Arial" w:eastAsia="Arial" w:hAnsi="Arial" w:cs="Arial"/>
          <w:color w:val="000000"/>
          <w:sz w:val="16"/>
          <w:szCs w:val="16"/>
        </w:rPr>
        <w:t xml:space="preserve">, at </w:t>
      </w:r>
      <w:r>
        <w:rPr>
          <w:rFonts w:ascii="Arial" w:eastAsia="Arial" w:hAnsi="Arial" w:cs="Arial"/>
          <w:b/>
          <w:color w:val="107087"/>
          <w:sz w:val="16"/>
          <w:szCs w:val="16"/>
        </w:rPr>
        <w:t>Customer’s</w:t>
      </w:r>
      <w:r>
        <w:rPr>
          <w:rFonts w:ascii="Arial" w:eastAsia="Arial" w:hAnsi="Arial" w:cs="Arial"/>
          <w:color w:val="000000"/>
          <w:sz w:val="16"/>
          <w:szCs w:val="16"/>
        </w:rPr>
        <w:t xml:space="preserve"> expense, in any legal response or other procedural action taken by </w:t>
      </w:r>
      <w:r>
        <w:rPr>
          <w:rFonts w:ascii="Arial" w:eastAsia="Arial" w:hAnsi="Arial" w:cs="Arial"/>
          <w:b/>
          <w:color w:val="107087"/>
          <w:sz w:val="16"/>
          <w:szCs w:val="16"/>
        </w:rPr>
        <w:t>Customer</w:t>
      </w:r>
      <w:r>
        <w:rPr>
          <w:rFonts w:ascii="Arial" w:eastAsia="Arial" w:hAnsi="Arial" w:cs="Arial"/>
          <w:color w:val="000000"/>
          <w:sz w:val="16"/>
          <w:szCs w:val="16"/>
        </w:rPr>
        <w:t xml:space="preserve"> in response to a third-party request about </w:t>
      </w:r>
      <w:r>
        <w:rPr>
          <w:rFonts w:ascii="Arial" w:eastAsia="Arial" w:hAnsi="Arial" w:cs="Arial"/>
          <w:b/>
          <w:color w:val="107087"/>
          <w:sz w:val="16"/>
          <w:szCs w:val="16"/>
        </w:rPr>
        <w:t>Provider’s</w:t>
      </w:r>
      <w:r>
        <w:rPr>
          <w:rFonts w:ascii="Arial" w:eastAsia="Arial" w:hAnsi="Arial" w:cs="Arial"/>
          <w:color w:val="000000"/>
          <w:sz w:val="16"/>
          <w:szCs w:val="16"/>
        </w:rPr>
        <w:t xml:space="preserve"> Processing of Customer Personal Data under this DPA.</w:t>
      </w:r>
    </w:p>
    <w:p w14:paraId="7002A00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DPIAs and DTIAs</w:t>
      </w:r>
      <w:r>
        <w:rPr>
          <w:rFonts w:ascii="Arial" w:eastAsia="Arial" w:hAnsi="Arial" w:cs="Arial"/>
          <w:color w:val="000000"/>
          <w:sz w:val="16"/>
          <w:szCs w:val="16"/>
        </w:rPr>
        <w:t xml:space="preserve">.  If required by Applicable Data Protection Laws, </w:t>
      </w:r>
      <w:r>
        <w:rPr>
          <w:rFonts w:ascii="Arial" w:eastAsia="Arial" w:hAnsi="Arial" w:cs="Arial"/>
          <w:b/>
          <w:color w:val="107087"/>
          <w:sz w:val="16"/>
          <w:szCs w:val="16"/>
        </w:rPr>
        <w:t>Provider</w:t>
      </w:r>
      <w:r>
        <w:rPr>
          <w:rFonts w:ascii="Arial" w:eastAsia="Arial" w:hAnsi="Arial" w:cs="Arial"/>
          <w:color w:val="000000"/>
          <w:sz w:val="16"/>
          <w:szCs w:val="16"/>
        </w:rPr>
        <w:t xml:space="preserve"> will reasonably assist </w:t>
      </w:r>
      <w:r>
        <w:rPr>
          <w:rFonts w:ascii="Arial" w:eastAsia="Arial" w:hAnsi="Arial" w:cs="Arial"/>
          <w:b/>
          <w:color w:val="107087"/>
          <w:sz w:val="16"/>
          <w:szCs w:val="16"/>
        </w:rPr>
        <w:t>Customer</w:t>
      </w:r>
      <w:r>
        <w:rPr>
          <w:rFonts w:ascii="Arial" w:eastAsia="Arial" w:hAnsi="Arial" w:cs="Arial"/>
          <w:color w:val="000000"/>
          <w:sz w:val="16"/>
          <w:szCs w:val="16"/>
        </w:rPr>
        <w:t xml:space="preserve"> in conducting any mandated data protection impact assessments or data transfer impact assessments and consultations with relevant data protection authorities, taking into consideration the nature of the Processing and Customer Personal Data.</w:t>
      </w:r>
    </w:p>
    <w:p w14:paraId="2FC1BD07"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 xml:space="preserve">Deletion of Customer Personal Data </w:t>
      </w:r>
    </w:p>
    <w:p w14:paraId="367D8DE2"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lastRenderedPageBreak/>
        <w:t>Deletion by Customer</w:t>
      </w:r>
      <w:r>
        <w:rPr>
          <w:rFonts w:ascii="Arial" w:eastAsia="Arial" w:hAnsi="Arial" w:cs="Arial"/>
          <w:color w:val="000000"/>
          <w:sz w:val="16"/>
          <w:szCs w:val="16"/>
        </w:rPr>
        <w:t xml:space="preserve">. </w:t>
      </w:r>
      <w:r>
        <w:rPr>
          <w:rFonts w:ascii="Arial" w:eastAsia="Arial" w:hAnsi="Arial" w:cs="Arial"/>
          <w:b/>
          <w:color w:val="107087"/>
          <w:sz w:val="16"/>
          <w:szCs w:val="16"/>
        </w:rPr>
        <w:t>Provider</w:t>
      </w:r>
      <w:r>
        <w:rPr>
          <w:rFonts w:ascii="Arial" w:eastAsia="Arial" w:hAnsi="Arial" w:cs="Arial"/>
          <w:color w:val="000000"/>
          <w:sz w:val="16"/>
          <w:szCs w:val="16"/>
        </w:rPr>
        <w:t xml:space="preserve"> will enable </w:t>
      </w:r>
      <w:r>
        <w:rPr>
          <w:rFonts w:ascii="Arial" w:eastAsia="Arial" w:hAnsi="Arial" w:cs="Arial"/>
          <w:b/>
          <w:color w:val="107087"/>
          <w:sz w:val="16"/>
          <w:szCs w:val="16"/>
        </w:rPr>
        <w:t>Customer</w:t>
      </w:r>
      <w:r>
        <w:rPr>
          <w:rFonts w:ascii="Arial" w:eastAsia="Arial" w:hAnsi="Arial" w:cs="Arial"/>
          <w:color w:val="000000"/>
          <w:sz w:val="16"/>
          <w:szCs w:val="16"/>
        </w:rPr>
        <w:t xml:space="preserve"> to delete Customer Personal Data in a manner consistent with the functionality of the Services. </w:t>
      </w:r>
      <w:r>
        <w:rPr>
          <w:rFonts w:ascii="Arial" w:eastAsia="Arial" w:hAnsi="Arial" w:cs="Arial"/>
          <w:b/>
          <w:color w:val="107087"/>
          <w:sz w:val="16"/>
          <w:szCs w:val="16"/>
        </w:rPr>
        <w:t>Provider</w:t>
      </w:r>
      <w:r>
        <w:rPr>
          <w:rFonts w:ascii="Arial" w:eastAsia="Arial" w:hAnsi="Arial" w:cs="Arial"/>
          <w:color w:val="000000"/>
          <w:sz w:val="16"/>
          <w:szCs w:val="16"/>
        </w:rPr>
        <w:t xml:space="preserve"> will comply with this instruction as soon as reasonably practicable except where further storage of Customer Personal Data is required by Applicable Law. </w:t>
      </w:r>
    </w:p>
    <w:p w14:paraId="09B8F6DD"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Deletion at DPA Expiration</w:t>
      </w:r>
      <w:r>
        <w:rPr>
          <w:rFonts w:ascii="Arial" w:eastAsia="Arial" w:hAnsi="Arial" w:cs="Arial"/>
          <w:color w:val="000000"/>
          <w:sz w:val="16"/>
          <w:szCs w:val="16"/>
        </w:rPr>
        <w:t xml:space="preserve">. </w:t>
      </w:r>
    </w:p>
    <w:p w14:paraId="17E33502"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After the DPA expires, </w:t>
      </w:r>
      <w:r>
        <w:rPr>
          <w:rFonts w:ascii="Arial" w:eastAsia="Arial" w:hAnsi="Arial" w:cs="Arial"/>
          <w:b/>
          <w:color w:val="107087"/>
          <w:sz w:val="16"/>
          <w:szCs w:val="16"/>
        </w:rPr>
        <w:t>Provider</w:t>
      </w:r>
      <w:r>
        <w:rPr>
          <w:rFonts w:ascii="Arial" w:eastAsia="Arial" w:hAnsi="Arial" w:cs="Arial"/>
          <w:color w:val="000000"/>
          <w:sz w:val="16"/>
          <w:szCs w:val="16"/>
        </w:rPr>
        <w:t xml:space="preserve"> will return or delete Customer Personal Data at </w:t>
      </w:r>
      <w:r>
        <w:rPr>
          <w:rFonts w:ascii="Arial" w:eastAsia="Arial" w:hAnsi="Arial" w:cs="Arial"/>
          <w:b/>
          <w:color w:val="107087"/>
          <w:sz w:val="16"/>
          <w:szCs w:val="16"/>
        </w:rPr>
        <w:t>Customer’s</w:t>
      </w:r>
      <w:r>
        <w:rPr>
          <w:rFonts w:ascii="Arial" w:eastAsia="Arial" w:hAnsi="Arial" w:cs="Arial"/>
          <w:color w:val="000000"/>
          <w:sz w:val="16"/>
          <w:szCs w:val="16"/>
        </w:rPr>
        <w:t xml:space="preserve"> instruction unless further storage of Customer Personal Data is required or authorized by Applicable Law. If return or destruction is impracticable or prohibited by Applicable Laws, </w:t>
      </w:r>
      <w:r>
        <w:rPr>
          <w:rFonts w:ascii="Arial" w:eastAsia="Arial" w:hAnsi="Arial" w:cs="Arial"/>
          <w:b/>
          <w:color w:val="000000"/>
          <w:sz w:val="16"/>
          <w:szCs w:val="16"/>
        </w:rPr>
        <w:t>Provider</w:t>
      </w:r>
      <w:r>
        <w:rPr>
          <w:rFonts w:ascii="Arial" w:eastAsia="Arial" w:hAnsi="Arial" w:cs="Arial"/>
          <w:color w:val="000000"/>
          <w:sz w:val="16"/>
          <w:szCs w:val="16"/>
        </w:rPr>
        <w:t xml:space="preserve"> will make reasonable efforts to prevent additional Processing of Customer Personal Data and will continue to protect the Customer Personal Data remaining in its possession, custody, or control. For example, Applicable Laws may require </w:t>
      </w:r>
      <w:r>
        <w:rPr>
          <w:rFonts w:ascii="Arial" w:eastAsia="Arial" w:hAnsi="Arial" w:cs="Arial"/>
          <w:b/>
          <w:color w:val="107087"/>
          <w:sz w:val="16"/>
          <w:szCs w:val="16"/>
        </w:rPr>
        <w:t>Provider</w:t>
      </w:r>
      <w:r>
        <w:rPr>
          <w:rFonts w:ascii="Arial" w:eastAsia="Arial" w:hAnsi="Arial" w:cs="Arial"/>
          <w:color w:val="000000"/>
          <w:sz w:val="16"/>
          <w:szCs w:val="16"/>
        </w:rPr>
        <w:t xml:space="preserve"> to continue hosting or Processing Customer Personal Data.</w:t>
      </w:r>
    </w:p>
    <w:p w14:paraId="02755477" w14:textId="77777777" w:rsidR="00170C6E" w:rsidRDefault="00000000">
      <w:pPr>
        <w:numPr>
          <w:ilvl w:val="2"/>
          <w:numId w:val="1"/>
        </w:numPr>
        <w:pBdr>
          <w:top w:val="nil"/>
          <w:left w:val="nil"/>
          <w:bottom w:val="nil"/>
          <w:right w:val="nil"/>
          <w:between w:val="nil"/>
        </w:pBdr>
        <w:tabs>
          <w:tab w:val="left" w:pos="1080"/>
        </w:tabs>
        <w:spacing w:after="120"/>
        <w:ind w:left="0" w:firstLine="720"/>
        <w:rPr>
          <w:rFonts w:ascii="Arial" w:eastAsia="Arial" w:hAnsi="Arial" w:cs="Arial"/>
          <w:color w:val="000000"/>
          <w:sz w:val="16"/>
          <w:szCs w:val="16"/>
        </w:rPr>
      </w:pPr>
      <w:r>
        <w:rPr>
          <w:rFonts w:ascii="Arial" w:eastAsia="Arial" w:hAnsi="Arial" w:cs="Arial"/>
          <w:color w:val="000000"/>
          <w:sz w:val="16"/>
          <w:szCs w:val="16"/>
        </w:rPr>
        <w:t xml:space="preserve">If </w:t>
      </w:r>
      <w:r>
        <w:rPr>
          <w:rFonts w:ascii="Arial" w:eastAsia="Arial" w:hAnsi="Arial" w:cs="Arial"/>
          <w:b/>
          <w:color w:val="107087"/>
          <w:sz w:val="16"/>
          <w:szCs w:val="16"/>
        </w:rPr>
        <w:t>Customer</w:t>
      </w:r>
      <w:r>
        <w:rPr>
          <w:rFonts w:ascii="Arial" w:eastAsia="Arial" w:hAnsi="Arial" w:cs="Arial"/>
          <w:color w:val="000000"/>
          <w:sz w:val="16"/>
          <w:szCs w:val="16"/>
        </w:rPr>
        <w:t xml:space="preserve"> and </w:t>
      </w:r>
      <w:r>
        <w:rPr>
          <w:rFonts w:ascii="Arial" w:eastAsia="Arial" w:hAnsi="Arial" w:cs="Arial"/>
          <w:b/>
          <w:color w:val="107087"/>
          <w:sz w:val="16"/>
          <w:szCs w:val="16"/>
        </w:rPr>
        <w:t>Provider</w:t>
      </w:r>
      <w:r>
        <w:rPr>
          <w:rFonts w:ascii="Arial" w:eastAsia="Arial" w:hAnsi="Arial" w:cs="Arial"/>
          <w:color w:val="000000"/>
          <w:sz w:val="16"/>
          <w:szCs w:val="16"/>
        </w:rPr>
        <w:t xml:space="preserve"> have entered the EEA SCCs or the UK Addendum as part of this DPA, </w:t>
      </w:r>
      <w:r>
        <w:rPr>
          <w:rFonts w:ascii="Arial" w:eastAsia="Arial" w:hAnsi="Arial" w:cs="Arial"/>
          <w:b/>
          <w:color w:val="107087"/>
          <w:sz w:val="16"/>
          <w:szCs w:val="16"/>
        </w:rPr>
        <w:t>Provider</w:t>
      </w:r>
      <w:r>
        <w:rPr>
          <w:rFonts w:ascii="Arial" w:eastAsia="Arial" w:hAnsi="Arial" w:cs="Arial"/>
          <w:b/>
          <w:color w:val="000000"/>
          <w:sz w:val="16"/>
          <w:szCs w:val="16"/>
        </w:rPr>
        <w:t xml:space="preserve"> </w:t>
      </w:r>
      <w:r>
        <w:rPr>
          <w:rFonts w:ascii="Arial" w:eastAsia="Arial" w:hAnsi="Arial" w:cs="Arial"/>
          <w:color w:val="000000"/>
          <w:sz w:val="16"/>
          <w:szCs w:val="16"/>
        </w:rPr>
        <w:t xml:space="preserve">will only give </w:t>
      </w:r>
      <w:r>
        <w:rPr>
          <w:rFonts w:ascii="Arial" w:eastAsia="Arial" w:hAnsi="Arial" w:cs="Arial"/>
          <w:b/>
          <w:color w:val="107087"/>
          <w:sz w:val="16"/>
          <w:szCs w:val="16"/>
        </w:rPr>
        <w:t>Customer</w:t>
      </w:r>
      <w:r>
        <w:rPr>
          <w:rFonts w:ascii="Arial" w:eastAsia="Arial" w:hAnsi="Arial" w:cs="Arial"/>
          <w:color w:val="000000"/>
          <w:sz w:val="16"/>
          <w:szCs w:val="16"/>
        </w:rPr>
        <w:t xml:space="preserve"> the certification of deletion of Personal Data described in Clause 8.1(d) and Clause 8.5 of the EEA SCCs if </w:t>
      </w:r>
      <w:r>
        <w:rPr>
          <w:rFonts w:ascii="Arial" w:eastAsia="Arial" w:hAnsi="Arial" w:cs="Arial"/>
          <w:b/>
          <w:color w:val="107087"/>
          <w:sz w:val="16"/>
          <w:szCs w:val="16"/>
        </w:rPr>
        <w:t>Customer</w:t>
      </w:r>
      <w:r>
        <w:rPr>
          <w:rFonts w:ascii="Arial" w:eastAsia="Arial" w:hAnsi="Arial" w:cs="Arial"/>
          <w:color w:val="000000"/>
          <w:sz w:val="16"/>
          <w:szCs w:val="16"/>
        </w:rPr>
        <w:t xml:space="preserve"> asks for one.</w:t>
      </w:r>
    </w:p>
    <w:p w14:paraId="6A35F853"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Limitation of Liability</w:t>
      </w:r>
    </w:p>
    <w:p w14:paraId="3384709B"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Liability Caps and Damages Waiver</w:t>
      </w:r>
      <w:r>
        <w:rPr>
          <w:rFonts w:ascii="Arial" w:eastAsia="Arial" w:hAnsi="Arial" w:cs="Arial"/>
          <w:color w:val="000000"/>
          <w:sz w:val="16"/>
          <w:szCs w:val="16"/>
        </w:rPr>
        <w:t xml:space="preserve">.  </w:t>
      </w:r>
      <w:r>
        <w:rPr>
          <w:rFonts w:ascii="Arial" w:eastAsia="Arial" w:hAnsi="Arial" w:cs="Arial"/>
          <w:b/>
          <w:color w:val="000000"/>
          <w:sz w:val="16"/>
          <w:szCs w:val="16"/>
        </w:rPr>
        <w:t xml:space="preserve">To the maximum extent permitted under Applicable Data Protection Laws, each party’s total cumulative liability to the other party arising out of or related to this DPA will be subject to the waivers, exclusions, and limitations of liability stated in the </w:t>
      </w:r>
      <w:r>
        <w:rPr>
          <w:rFonts w:ascii="Arial" w:eastAsia="Arial" w:hAnsi="Arial" w:cs="Arial"/>
          <w:b/>
          <w:color w:val="107087"/>
          <w:sz w:val="16"/>
          <w:szCs w:val="16"/>
        </w:rPr>
        <w:t>Agreement</w:t>
      </w:r>
      <w:r>
        <w:rPr>
          <w:rFonts w:ascii="Arial" w:eastAsia="Arial" w:hAnsi="Arial" w:cs="Arial"/>
          <w:b/>
          <w:color w:val="000000"/>
          <w:sz w:val="16"/>
          <w:szCs w:val="16"/>
        </w:rPr>
        <w:t>.</w:t>
      </w:r>
    </w:p>
    <w:p w14:paraId="7AE0BCBA"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Related-Party Claims</w:t>
      </w:r>
      <w:r>
        <w:rPr>
          <w:rFonts w:ascii="Arial" w:eastAsia="Arial" w:hAnsi="Arial" w:cs="Arial"/>
          <w:color w:val="000000"/>
          <w:sz w:val="16"/>
          <w:szCs w:val="16"/>
        </w:rPr>
        <w:t xml:space="preserve">.  </w:t>
      </w:r>
      <w:r>
        <w:rPr>
          <w:rFonts w:ascii="Arial" w:eastAsia="Arial" w:hAnsi="Arial" w:cs="Arial"/>
          <w:b/>
          <w:color w:val="000000"/>
          <w:sz w:val="16"/>
          <w:szCs w:val="16"/>
        </w:rPr>
        <w:t xml:space="preserve">Any claims made against </w:t>
      </w:r>
      <w:r>
        <w:rPr>
          <w:rFonts w:ascii="Arial" w:eastAsia="Arial" w:hAnsi="Arial" w:cs="Arial"/>
          <w:b/>
          <w:color w:val="107087"/>
          <w:sz w:val="16"/>
          <w:szCs w:val="16"/>
        </w:rPr>
        <w:t>Provider</w:t>
      </w:r>
      <w:r>
        <w:rPr>
          <w:rFonts w:ascii="Arial" w:eastAsia="Arial" w:hAnsi="Arial" w:cs="Arial"/>
          <w:b/>
          <w:color w:val="000000"/>
          <w:sz w:val="16"/>
          <w:szCs w:val="16"/>
        </w:rPr>
        <w:t xml:space="preserve"> or its Affiliates arising out of or related to this DPA may only be brought by the </w:t>
      </w:r>
      <w:r>
        <w:rPr>
          <w:rFonts w:ascii="Arial" w:eastAsia="Arial" w:hAnsi="Arial" w:cs="Arial"/>
          <w:b/>
          <w:color w:val="107087"/>
          <w:sz w:val="16"/>
          <w:szCs w:val="16"/>
        </w:rPr>
        <w:t>Customer</w:t>
      </w:r>
      <w:r>
        <w:rPr>
          <w:rFonts w:ascii="Arial" w:eastAsia="Arial" w:hAnsi="Arial" w:cs="Arial"/>
          <w:b/>
          <w:color w:val="000000"/>
          <w:sz w:val="16"/>
          <w:szCs w:val="16"/>
        </w:rPr>
        <w:t xml:space="preserve"> entity that is a party to the </w:t>
      </w:r>
      <w:r>
        <w:rPr>
          <w:rFonts w:ascii="Arial" w:eastAsia="Arial" w:hAnsi="Arial" w:cs="Arial"/>
          <w:b/>
          <w:color w:val="107087"/>
          <w:sz w:val="16"/>
          <w:szCs w:val="16"/>
        </w:rPr>
        <w:t>Agreement</w:t>
      </w:r>
      <w:r>
        <w:rPr>
          <w:rFonts w:ascii="Arial" w:eastAsia="Arial" w:hAnsi="Arial" w:cs="Arial"/>
          <w:b/>
          <w:color w:val="000000"/>
          <w:sz w:val="16"/>
          <w:szCs w:val="16"/>
        </w:rPr>
        <w:t>.</w:t>
      </w:r>
    </w:p>
    <w:p w14:paraId="1AB52448"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u w:val="single"/>
        </w:rPr>
        <w:t>Exceptions</w:t>
      </w:r>
      <w:r>
        <w:rPr>
          <w:rFonts w:ascii="Arial" w:eastAsia="Arial" w:hAnsi="Arial" w:cs="Arial"/>
          <w:color w:val="000000"/>
          <w:sz w:val="16"/>
          <w:szCs w:val="16"/>
        </w:rPr>
        <w:t>.  This DPA does not limit any liability to an individual about the individual’s data protection rights under Applicable Data Protection Laws. In addition, this DPA does not limit any liability between the parties for violations of the EEA SCCs or UK Addendum.</w:t>
      </w:r>
    </w:p>
    <w:p w14:paraId="323DA99C"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Conflicts Between Documents</w:t>
      </w:r>
    </w:p>
    <w:p w14:paraId="02A09C25" w14:textId="77777777" w:rsidR="00170C6E" w:rsidRDefault="00000000">
      <w:pPr>
        <w:spacing w:after="120"/>
        <w:rPr>
          <w:rFonts w:ascii="Arial" w:eastAsia="Arial" w:hAnsi="Arial" w:cs="Arial"/>
          <w:sz w:val="16"/>
          <w:szCs w:val="16"/>
          <w:u w:val="single"/>
        </w:rPr>
      </w:pPr>
      <w:r>
        <w:rPr>
          <w:rFonts w:ascii="Arial" w:eastAsia="Arial" w:hAnsi="Arial" w:cs="Arial"/>
          <w:sz w:val="16"/>
          <w:szCs w:val="16"/>
        </w:rPr>
        <w:t xml:space="preserve">This DPA forms part of and supplements the </w:t>
      </w:r>
      <w:r>
        <w:rPr>
          <w:rFonts w:ascii="Arial" w:eastAsia="Arial" w:hAnsi="Arial" w:cs="Arial"/>
          <w:b/>
          <w:color w:val="107087"/>
          <w:sz w:val="16"/>
          <w:szCs w:val="16"/>
        </w:rPr>
        <w:t>Agreement</w:t>
      </w:r>
      <w:r>
        <w:rPr>
          <w:rFonts w:ascii="Arial" w:eastAsia="Arial" w:hAnsi="Arial" w:cs="Arial"/>
          <w:sz w:val="16"/>
          <w:szCs w:val="16"/>
        </w:rPr>
        <w:t xml:space="preserve">. If there is any inconsistency between this DPA, the </w:t>
      </w:r>
      <w:r>
        <w:rPr>
          <w:rFonts w:ascii="Arial" w:eastAsia="Arial" w:hAnsi="Arial" w:cs="Arial"/>
          <w:b/>
          <w:color w:val="107087"/>
          <w:sz w:val="16"/>
          <w:szCs w:val="16"/>
        </w:rPr>
        <w:t>Agreement</w:t>
      </w:r>
      <w:r>
        <w:rPr>
          <w:rFonts w:ascii="Arial" w:eastAsia="Arial" w:hAnsi="Arial" w:cs="Arial"/>
          <w:sz w:val="16"/>
          <w:szCs w:val="16"/>
        </w:rPr>
        <w:t xml:space="preserve">, or any of their parts, the part listed earlier will control over the part listed later for that inconsistency: (1) the EEA SCCs or the UK Addendum, (2) this DPA, and then (3) the </w:t>
      </w:r>
      <w:r>
        <w:rPr>
          <w:rFonts w:ascii="Arial" w:eastAsia="Arial" w:hAnsi="Arial" w:cs="Arial"/>
          <w:b/>
          <w:color w:val="107087"/>
          <w:sz w:val="16"/>
          <w:szCs w:val="16"/>
        </w:rPr>
        <w:t>Agreement</w:t>
      </w:r>
      <w:r>
        <w:rPr>
          <w:rFonts w:ascii="Arial" w:eastAsia="Arial" w:hAnsi="Arial" w:cs="Arial"/>
          <w:sz w:val="16"/>
          <w:szCs w:val="16"/>
        </w:rPr>
        <w:t xml:space="preserve">. </w:t>
      </w:r>
    </w:p>
    <w:p w14:paraId="6692DC14"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Term of Agreement</w:t>
      </w:r>
    </w:p>
    <w:p w14:paraId="2B11E4A7" w14:textId="77777777" w:rsidR="00170C6E" w:rsidRDefault="00000000">
      <w:pPr>
        <w:spacing w:after="120"/>
        <w:rPr>
          <w:rFonts w:ascii="Arial" w:eastAsia="Arial" w:hAnsi="Arial" w:cs="Arial"/>
          <w:sz w:val="16"/>
          <w:szCs w:val="16"/>
        </w:rPr>
      </w:pPr>
      <w:r>
        <w:rPr>
          <w:rFonts w:ascii="Arial" w:eastAsia="Arial" w:hAnsi="Arial" w:cs="Arial"/>
          <w:sz w:val="16"/>
          <w:szCs w:val="16"/>
        </w:rPr>
        <w:t xml:space="preserve">This DPA will start when </w:t>
      </w:r>
      <w:r>
        <w:rPr>
          <w:rFonts w:ascii="Arial" w:eastAsia="Arial" w:hAnsi="Arial" w:cs="Arial"/>
          <w:b/>
          <w:color w:val="107087"/>
          <w:sz w:val="16"/>
          <w:szCs w:val="16"/>
        </w:rPr>
        <w:t>Provider</w:t>
      </w:r>
      <w:r>
        <w:rPr>
          <w:rFonts w:ascii="Arial" w:eastAsia="Arial" w:hAnsi="Arial" w:cs="Arial"/>
          <w:sz w:val="16"/>
          <w:szCs w:val="16"/>
        </w:rPr>
        <w:t xml:space="preserve"> and </w:t>
      </w:r>
      <w:r>
        <w:rPr>
          <w:rFonts w:ascii="Arial" w:eastAsia="Arial" w:hAnsi="Arial" w:cs="Arial"/>
          <w:b/>
          <w:color w:val="107087"/>
          <w:sz w:val="16"/>
          <w:szCs w:val="16"/>
        </w:rPr>
        <w:t>Customer</w:t>
      </w:r>
      <w:r>
        <w:rPr>
          <w:rFonts w:ascii="Arial" w:eastAsia="Arial" w:hAnsi="Arial" w:cs="Arial"/>
          <w:sz w:val="16"/>
          <w:szCs w:val="16"/>
        </w:rPr>
        <w:t xml:space="preserve"> agree to a Cover Page for the DPA and sign or electronically accept the </w:t>
      </w:r>
      <w:r>
        <w:rPr>
          <w:rFonts w:ascii="Arial" w:eastAsia="Arial" w:hAnsi="Arial" w:cs="Arial"/>
          <w:b/>
          <w:color w:val="107087"/>
          <w:sz w:val="16"/>
          <w:szCs w:val="16"/>
        </w:rPr>
        <w:t>Agreement</w:t>
      </w:r>
      <w:r>
        <w:rPr>
          <w:rFonts w:ascii="Arial" w:eastAsia="Arial" w:hAnsi="Arial" w:cs="Arial"/>
          <w:sz w:val="16"/>
          <w:szCs w:val="16"/>
        </w:rPr>
        <w:t xml:space="preserve"> and will continue until the </w:t>
      </w:r>
      <w:r>
        <w:rPr>
          <w:rFonts w:ascii="Arial" w:eastAsia="Arial" w:hAnsi="Arial" w:cs="Arial"/>
          <w:b/>
          <w:color w:val="107087"/>
          <w:sz w:val="16"/>
          <w:szCs w:val="16"/>
        </w:rPr>
        <w:t>Agreement</w:t>
      </w:r>
      <w:r>
        <w:rPr>
          <w:rFonts w:ascii="Arial" w:eastAsia="Arial" w:hAnsi="Arial" w:cs="Arial"/>
          <w:sz w:val="16"/>
          <w:szCs w:val="16"/>
        </w:rPr>
        <w:t xml:space="preserve"> expires or is terminated. However, </w:t>
      </w:r>
      <w:r>
        <w:rPr>
          <w:rFonts w:ascii="Arial" w:eastAsia="Arial" w:hAnsi="Arial" w:cs="Arial"/>
          <w:b/>
          <w:color w:val="107087"/>
          <w:sz w:val="16"/>
          <w:szCs w:val="16"/>
        </w:rPr>
        <w:t>Provider</w:t>
      </w:r>
      <w:r>
        <w:rPr>
          <w:rFonts w:ascii="Arial" w:eastAsia="Arial" w:hAnsi="Arial" w:cs="Arial"/>
          <w:sz w:val="16"/>
          <w:szCs w:val="16"/>
        </w:rPr>
        <w:t xml:space="preserve"> and </w:t>
      </w:r>
      <w:r>
        <w:rPr>
          <w:rFonts w:ascii="Arial" w:eastAsia="Arial" w:hAnsi="Arial" w:cs="Arial"/>
          <w:b/>
          <w:color w:val="107087"/>
          <w:sz w:val="16"/>
          <w:szCs w:val="16"/>
        </w:rPr>
        <w:t>Customer</w:t>
      </w:r>
      <w:r>
        <w:rPr>
          <w:rFonts w:ascii="Arial" w:eastAsia="Arial" w:hAnsi="Arial" w:cs="Arial"/>
          <w:sz w:val="16"/>
          <w:szCs w:val="16"/>
        </w:rPr>
        <w:t xml:space="preserve"> will each remain subject to the obligations in this DPA and Applicable Data Protection Laws until </w:t>
      </w:r>
      <w:r>
        <w:rPr>
          <w:rFonts w:ascii="Arial" w:eastAsia="Arial" w:hAnsi="Arial" w:cs="Arial"/>
          <w:b/>
          <w:color w:val="107087"/>
          <w:sz w:val="16"/>
          <w:szCs w:val="16"/>
        </w:rPr>
        <w:t>Customer</w:t>
      </w:r>
      <w:r>
        <w:rPr>
          <w:rFonts w:ascii="Arial" w:eastAsia="Arial" w:hAnsi="Arial" w:cs="Arial"/>
          <w:sz w:val="16"/>
          <w:szCs w:val="16"/>
        </w:rPr>
        <w:t xml:space="preserve"> stops transferring Customer Personal Data to </w:t>
      </w:r>
      <w:r>
        <w:rPr>
          <w:rFonts w:ascii="Arial" w:eastAsia="Arial" w:hAnsi="Arial" w:cs="Arial"/>
          <w:b/>
          <w:color w:val="107087"/>
          <w:sz w:val="16"/>
          <w:szCs w:val="16"/>
        </w:rPr>
        <w:t>Provider</w:t>
      </w:r>
      <w:r>
        <w:rPr>
          <w:rFonts w:ascii="Arial" w:eastAsia="Arial" w:hAnsi="Arial" w:cs="Arial"/>
          <w:sz w:val="16"/>
          <w:szCs w:val="16"/>
        </w:rPr>
        <w:t xml:space="preserve"> and </w:t>
      </w:r>
      <w:r>
        <w:rPr>
          <w:rFonts w:ascii="Arial" w:eastAsia="Arial" w:hAnsi="Arial" w:cs="Arial"/>
          <w:b/>
          <w:color w:val="107087"/>
          <w:sz w:val="16"/>
          <w:szCs w:val="16"/>
        </w:rPr>
        <w:t>Provider</w:t>
      </w:r>
      <w:r>
        <w:rPr>
          <w:rFonts w:ascii="Arial" w:eastAsia="Arial" w:hAnsi="Arial" w:cs="Arial"/>
          <w:sz w:val="16"/>
          <w:szCs w:val="16"/>
        </w:rPr>
        <w:t xml:space="preserve"> stops Processing Customer Personal Data.</w:t>
      </w:r>
    </w:p>
    <w:p w14:paraId="687DAF09" w14:textId="77777777" w:rsidR="00170C6E" w:rsidRDefault="00000000">
      <w:pPr>
        <w:numPr>
          <w:ilvl w:val="0"/>
          <w:numId w:val="1"/>
        </w:numPr>
        <w:pBdr>
          <w:top w:val="nil"/>
          <w:left w:val="nil"/>
          <w:bottom w:val="nil"/>
          <w:right w:val="nil"/>
          <w:between w:val="nil"/>
        </w:pBdr>
        <w:spacing w:after="120"/>
        <w:ind w:left="0" w:firstLine="0"/>
        <w:rPr>
          <w:rFonts w:ascii="Arial" w:eastAsia="Arial" w:hAnsi="Arial" w:cs="Arial"/>
          <w:b/>
          <w:color w:val="000000"/>
          <w:sz w:val="16"/>
          <w:szCs w:val="16"/>
        </w:rPr>
      </w:pPr>
      <w:r>
        <w:rPr>
          <w:rFonts w:ascii="Arial" w:eastAsia="Arial" w:hAnsi="Arial" w:cs="Arial"/>
          <w:b/>
          <w:color w:val="000000"/>
          <w:sz w:val="16"/>
          <w:szCs w:val="16"/>
        </w:rPr>
        <w:t>Definitions.</w:t>
      </w:r>
    </w:p>
    <w:p w14:paraId="38B0DA57"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Applicable Laws</w:t>
      </w:r>
      <w:r>
        <w:rPr>
          <w:rFonts w:ascii="Arial" w:eastAsia="Arial" w:hAnsi="Arial" w:cs="Arial"/>
          <w:color w:val="000000"/>
          <w:sz w:val="16"/>
          <w:szCs w:val="16"/>
        </w:rPr>
        <w:t>” means the laws, rules, regulations, court orders, and other binding requirements of a relevant government authority that apply to or govern a party.</w:t>
      </w:r>
    </w:p>
    <w:p w14:paraId="73B50EEC"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Applicable Data Protection Laws</w:t>
      </w:r>
      <w:r>
        <w:rPr>
          <w:rFonts w:ascii="Arial" w:eastAsia="Arial" w:hAnsi="Arial" w:cs="Arial"/>
          <w:color w:val="000000"/>
          <w:sz w:val="16"/>
          <w:szCs w:val="16"/>
        </w:rPr>
        <w:t>” means the Applicable Laws that govern how the Service may process or use an individual’s personal information, personal data, personally identifiable information, or other similar term.</w:t>
      </w:r>
    </w:p>
    <w:p w14:paraId="040A7357"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Controller</w:t>
      </w:r>
      <w:r>
        <w:rPr>
          <w:rFonts w:ascii="Arial" w:eastAsia="Arial" w:hAnsi="Arial" w:cs="Arial"/>
          <w:color w:val="000000"/>
          <w:sz w:val="16"/>
          <w:szCs w:val="16"/>
        </w:rPr>
        <w:t>” will have the meaning(s) given in the Applicable Data Protection Laws for the company that determines the purpose and extent of Processing Personal Data.</w:t>
      </w:r>
    </w:p>
    <w:p w14:paraId="1FF790F9"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Cover Page</w:t>
      </w:r>
      <w:r>
        <w:rPr>
          <w:rFonts w:ascii="Arial" w:eastAsia="Arial" w:hAnsi="Arial" w:cs="Arial"/>
          <w:color w:val="000000"/>
          <w:sz w:val="16"/>
          <w:szCs w:val="16"/>
        </w:rPr>
        <w:t xml:space="preserve">” means a document that is signed or electronically accepted by the parties that incorporates these DPA Standard Terms and identifies </w:t>
      </w:r>
      <w:r>
        <w:rPr>
          <w:rFonts w:ascii="Arial" w:eastAsia="Arial" w:hAnsi="Arial" w:cs="Arial"/>
          <w:b/>
          <w:color w:val="107087"/>
          <w:sz w:val="16"/>
          <w:szCs w:val="16"/>
        </w:rPr>
        <w:t>Provider</w:t>
      </w:r>
      <w:r>
        <w:rPr>
          <w:rFonts w:ascii="Arial" w:eastAsia="Arial" w:hAnsi="Arial" w:cs="Arial"/>
          <w:color w:val="000000"/>
          <w:sz w:val="16"/>
          <w:szCs w:val="16"/>
        </w:rPr>
        <w:t xml:space="preserve">, </w:t>
      </w:r>
      <w:r>
        <w:rPr>
          <w:rFonts w:ascii="Arial" w:eastAsia="Arial" w:hAnsi="Arial" w:cs="Arial"/>
          <w:b/>
          <w:color w:val="107087"/>
          <w:sz w:val="16"/>
          <w:szCs w:val="16"/>
        </w:rPr>
        <w:t>Customer</w:t>
      </w:r>
      <w:r>
        <w:rPr>
          <w:rFonts w:ascii="Arial" w:eastAsia="Arial" w:hAnsi="Arial" w:cs="Arial"/>
          <w:color w:val="000000"/>
          <w:sz w:val="16"/>
          <w:szCs w:val="16"/>
        </w:rPr>
        <w:t xml:space="preserve">, and the subject matter and details of the data processing. </w:t>
      </w:r>
    </w:p>
    <w:p w14:paraId="7781550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Customer Personal Data</w:t>
      </w:r>
      <w:r>
        <w:rPr>
          <w:rFonts w:ascii="Arial" w:eastAsia="Arial" w:hAnsi="Arial" w:cs="Arial"/>
          <w:color w:val="000000"/>
          <w:sz w:val="16"/>
          <w:szCs w:val="16"/>
        </w:rPr>
        <w:t xml:space="preserve">” means Personal Data that </w:t>
      </w:r>
      <w:r>
        <w:rPr>
          <w:rFonts w:ascii="Arial" w:eastAsia="Arial" w:hAnsi="Arial" w:cs="Arial"/>
          <w:b/>
          <w:color w:val="107087"/>
          <w:sz w:val="16"/>
          <w:szCs w:val="16"/>
        </w:rPr>
        <w:t>Customer</w:t>
      </w:r>
      <w:r>
        <w:rPr>
          <w:rFonts w:ascii="Arial" w:eastAsia="Arial" w:hAnsi="Arial" w:cs="Arial"/>
          <w:color w:val="000000"/>
          <w:sz w:val="16"/>
          <w:szCs w:val="16"/>
        </w:rPr>
        <w:t xml:space="preserve"> uploads or provides to </w:t>
      </w:r>
      <w:r>
        <w:rPr>
          <w:rFonts w:ascii="Arial" w:eastAsia="Arial" w:hAnsi="Arial" w:cs="Arial"/>
          <w:b/>
          <w:color w:val="107087"/>
          <w:sz w:val="16"/>
          <w:szCs w:val="16"/>
        </w:rPr>
        <w:t>Provider</w:t>
      </w:r>
      <w:r>
        <w:rPr>
          <w:rFonts w:ascii="Arial" w:eastAsia="Arial" w:hAnsi="Arial" w:cs="Arial"/>
          <w:color w:val="000000"/>
          <w:sz w:val="16"/>
          <w:szCs w:val="16"/>
        </w:rPr>
        <w:t xml:space="preserve"> as part of the Service and that is governed by this DPA.</w:t>
      </w:r>
    </w:p>
    <w:p w14:paraId="37A8E78F"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DPA</w:t>
      </w:r>
      <w:r>
        <w:rPr>
          <w:rFonts w:ascii="Arial" w:eastAsia="Arial" w:hAnsi="Arial" w:cs="Arial"/>
          <w:color w:val="000000"/>
          <w:sz w:val="16"/>
          <w:szCs w:val="16"/>
        </w:rPr>
        <w:t xml:space="preserve">” means these DPA Standard Terms, the Cover Page between </w:t>
      </w:r>
      <w:r>
        <w:rPr>
          <w:rFonts w:ascii="Arial" w:eastAsia="Arial" w:hAnsi="Arial" w:cs="Arial"/>
          <w:b/>
          <w:color w:val="107087"/>
          <w:sz w:val="16"/>
          <w:szCs w:val="16"/>
        </w:rPr>
        <w:t>Provider</w:t>
      </w:r>
      <w:r>
        <w:rPr>
          <w:rFonts w:ascii="Arial" w:eastAsia="Arial" w:hAnsi="Arial" w:cs="Arial"/>
          <w:color w:val="000000"/>
          <w:sz w:val="16"/>
          <w:szCs w:val="16"/>
        </w:rPr>
        <w:t xml:space="preserve"> and </w:t>
      </w:r>
      <w:r>
        <w:rPr>
          <w:rFonts w:ascii="Arial" w:eastAsia="Arial" w:hAnsi="Arial" w:cs="Arial"/>
          <w:b/>
          <w:color w:val="107087"/>
          <w:sz w:val="16"/>
          <w:szCs w:val="16"/>
        </w:rPr>
        <w:t>Customer</w:t>
      </w:r>
      <w:r>
        <w:rPr>
          <w:rFonts w:ascii="Arial" w:eastAsia="Arial" w:hAnsi="Arial" w:cs="Arial"/>
          <w:color w:val="000000"/>
          <w:sz w:val="16"/>
          <w:szCs w:val="16"/>
        </w:rPr>
        <w:t>, and the policies and documents referenced in or attached to the Cover Page.</w:t>
      </w:r>
    </w:p>
    <w:p w14:paraId="65C81AF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1" w:name="_heading=h.ckx4r0q3bg3v" w:colFirst="0" w:colLast="0"/>
      <w:bookmarkEnd w:id="1"/>
      <w:r>
        <w:rPr>
          <w:rFonts w:ascii="Arial" w:eastAsia="Arial" w:hAnsi="Arial" w:cs="Arial"/>
          <w:color w:val="000000"/>
          <w:sz w:val="16"/>
          <w:szCs w:val="16"/>
        </w:rPr>
        <w:t>“</w:t>
      </w:r>
      <w:r>
        <w:rPr>
          <w:rFonts w:ascii="Arial" w:eastAsia="Arial" w:hAnsi="Arial" w:cs="Arial"/>
          <w:b/>
          <w:color w:val="000000"/>
          <w:sz w:val="16"/>
          <w:szCs w:val="16"/>
        </w:rPr>
        <w:t>EEA SCCs</w:t>
      </w:r>
      <w:r>
        <w:rPr>
          <w:rFonts w:ascii="Arial" w:eastAsia="Arial" w:hAnsi="Arial" w:cs="Arial"/>
          <w:color w:val="000000"/>
          <w:sz w:val="16"/>
          <w:szCs w:val="16"/>
        </w:rPr>
        <w:t>” means the standard contractual clauses annexed to the European Commission's Implementing Decision 2021/914 of 4 June 2021 on standard contractual clauses for the transfer of personal data to third countries pursuant to Regulation (EU) 2016/679 of the European Parliament and of the European Council.</w:t>
      </w:r>
    </w:p>
    <w:p w14:paraId="48BF2A2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European Economic Area</w:t>
      </w:r>
      <w:r>
        <w:rPr>
          <w:rFonts w:ascii="Arial" w:eastAsia="Arial" w:hAnsi="Arial" w:cs="Arial"/>
          <w:color w:val="000000"/>
          <w:sz w:val="16"/>
          <w:szCs w:val="16"/>
        </w:rPr>
        <w:t>” or “</w:t>
      </w:r>
      <w:r>
        <w:rPr>
          <w:rFonts w:ascii="Arial" w:eastAsia="Arial" w:hAnsi="Arial" w:cs="Arial"/>
          <w:b/>
          <w:color w:val="000000"/>
          <w:sz w:val="16"/>
          <w:szCs w:val="16"/>
        </w:rPr>
        <w:t>EEA</w:t>
      </w:r>
      <w:r>
        <w:rPr>
          <w:rFonts w:ascii="Arial" w:eastAsia="Arial" w:hAnsi="Arial" w:cs="Arial"/>
          <w:color w:val="000000"/>
          <w:sz w:val="16"/>
          <w:szCs w:val="16"/>
        </w:rPr>
        <w:t>” means the member states of the European Union, Norway, Iceland, and Liechtenstein.</w:t>
      </w:r>
    </w:p>
    <w:p w14:paraId="68C2063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GDPR</w:t>
      </w:r>
      <w:r>
        <w:rPr>
          <w:rFonts w:ascii="Arial" w:eastAsia="Arial" w:hAnsi="Arial" w:cs="Arial"/>
          <w:color w:val="000000"/>
          <w:sz w:val="16"/>
          <w:szCs w:val="16"/>
        </w:rPr>
        <w:t>” means European Union Regulation 2016/679 as implemented by local law in the relevant EEA member nation.</w:t>
      </w:r>
    </w:p>
    <w:p w14:paraId="76766910"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Personal Data</w:t>
      </w:r>
      <w:r>
        <w:rPr>
          <w:rFonts w:ascii="Arial" w:eastAsia="Arial" w:hAnsi="Arial" w:cs="Arial"/>
          <w:color w:val="000000"/>
          <w:sz w:val="16"/>
          <w:szCs w:val="16"/>
        </w:rPr>
        <w:t>” will have the meaning(s) given in the Applicable Data Protection Laws for personal information, personal data, or other similar term.</w:t>
      </w:r>
    </w:p>
    <w:p w14:paraId="37A9844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Processing</w:t>
      </w:r>
      <w:r>
        <w:rPr>
          <w:rFonts w:ascii="Arial" w:eastAsia="Arial" w:hAnsi="Arial" w:cs="Arial"/>
          <w:color w:val="000000"/>
          <w:sz w:val="16"/>
          <w:szCs w:val="16"/>
        </w:rPr>
        <w:t>” or “</w:t>
      </w:r>
      <w:r>
        <w:rPr>
          <w:rFonts w:ascii="Arial" w:eastAsia="Arial" w:hAnsi="Arial" w:cs="Arial"/>
          <w:b/>
          <w:color w:val="000000"/>
          <w:sz w:val="16"/>
          <w:szCs w:val="16"/>
        </w:rPr>
        <w:t>Process</w:t>
      </w:r>
      <w:r>
        <w:rPr>
          <w:rFonts w:ascii="Arial" w:eastAsia="Arial" w:hAnsi="Arial" w:cs="Arial"/>
          <w:color w:val="000000"/>
          <w:sz w:val="16"/>
          <w:szCs w:val="16"/>
        </w:rPr>
        <w:t>” will have the meaning(s) given in the Applicable Data Protection Laws for any use of, or performance of a computer operation on, Personal Data, including by automatic methods.</w:t>
      </w:r>
    </w:p>
    <w:p w14:paraId="7D4435D6"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Processor</w:t>
      </w:r>
      <w:r>
        <w:rPr>
          <w:rFonts w:ascii="Arial" w:eastAsia="Arial" w:hAnsi="Arial" w:cs="Arial"/>
          <w:color w:val="000000"/>
          <w:sz w:val="16"/>
          <w:szCs w:val="16"/>
        </w:rPr>
        <w:t>” will have the meaning(s) given in the Applicable Data Protection Laws for the company that Processes Personal Data on behalf of the Controller.</w:t>
      </w:r>
    </w:p>
    <w:p w14:paraId="3CD24CBA"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2" w:name="_heading=h.9w010nu08u9p" w:colFirst="0" w:colLast="0"/>
      <w:bookmarkEnd w:id="2"/>
      <w:r>
        <w:rPr>
          <w:rFonts w:ascii="Arial" w:eastAsia="Arial" w:hAnsi="Arial" w:cs="Arial"/>
          <w:color w:val="000000"/>
          <w:sz w:val="16"/>
          <w:szCs w:val="16"/>
        </w:rPr>
        <w:t>“</w:t>
      </w:r>
      <w:r>
        <w:rPr>
          <w:rFonts w:ascii="Arial" w:eastAsia="Arial" w:hAnsi="Arial" w:cs="Arial"/>
          <w:b/>
          <w:color w:val="000000"/>
          <w:sz w:val="16"/>
          <w:szCs w:val="16"/>
        </w:rPr>
        <w:t>Report</w:t>
      </w:r>
      <w:r>
        <w:rPr>
          <w:rFonts w:ascii="Arial" w:eastAsia="Arial" w:hAnsi="Arial" w:cs="Arial"/>
          <w:color w:val="000000"/>
          <w:sz w:val="16"/>
          <w:szCs w:val="16"/>
        </w:rPr>
        <w:t xml:space="preserve">” means audit reports prepared by another company according to the standards defined in the Security Policy on behalf of </w:t>
      </w:r>
      <w:r>
        <w:rPr>
          <w:rFonts w:ascii="Arial" w:eastAsia="Arial" w:hAnsi="Arial" w:cs="Arial"/>
          <w:b/>
          <w:color w:val="000000"/>
          <w:sz w:val="16"/>
          <w:szCs w:val="16"/>
        </w:rPr>
        <w:t>Provider</w:t>
      </w:r>
      <w:r>
        <w:rPr>
          <w:rFonts w:ascii="Arial" w:eastAsia="Arial" w:hAnsi="Arial" w:cs="Arial"/>
          <w:color w:val="000000"/>
          <w:sz w:val="16"/>
          <w:szCs w:val="16"/>
        </w:rPr>
        <w:t xml:space="preserve">. </w:t>
      </w:r>
    </w:p>
    <w:p w14:paraId="6AD64A51"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Restricted Transfer</w:t>
      </w:r>
      <w:r>
        <w:rPr>
          <w:rFonts w:ascii="Arial" w:eastAsia="Arial" w:hAnsi="Arial" w:cs="Arial"/>
          <w:color w:val="000000"/>
          <w:sz w:val="16"/>
          <w:szCs w:val="16"/>
        </w:rPr>
        <w:t xml:space="preserve">” means (a) where the GDPR applies, a transfer of personal data from the EEA to a country outside of the EEA which is not subject to an adequacy determination by the European Commission; and (b) where the UK GDPR applies, a transfer of personal </w:t>
      </w:r>
      <w:r>
        <w:rPr>
          <w:rFonts w:ascii="Arial" w:eastAsia="Arial" w:hAnsi="Arial" w:cs="Arial"/>
          <w:color w:val="000000"/>
          <w:sz w:val="16"/>
          <w:szCs w:val="16"/>
        </w:rPr>
        <w:lastRenderedPageBreak/>
        <w:t>data from the United Kingdom to any other country which is not subject to adequacy regulations adopted pursuant to Section 17A of the United Kingdom Data Protection Act 2018.</w:t>
      </w:r>
    </w:p>
    <w:p w14:paraId="39EE01F5"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bookmarkStart w:id="3" w:name="_heading=h.k4wsiuraouse" w:colFirst="0" w:colLast="0"/>
      <w:bookmarkEnd w:id="3"/>
      <w:r>
        <w:rPr>
          <w:rFonts w:ascii="Arial" w:eastAsia="Arial" w:hAnsi="Arial" w:cs="Arial"/>
          <w:color w:val="000000"/>
          <w:sz w:val="16"/>
          <w:szCs w:val="16"/>
        </w:rPr>
        <w:t>“</w:t>
      </w:r>
      <w:r>
        <w:rPr>
          <w:rFonts w:ascii="Arial" w:eastAsia="Arial" w:hAnsi="Arial" w:cs="Arial"/>
          <w:b/>
          <w:color w:val="000000"/>
          <w:sz w:val="16"/>
          <w:szCs w:val="16"/>
        </w:rPr>
        <w:t>Security Incident</w:t>
      </w:r>
      <w:r>
        <w:rPr>
          <w:rFonts w:ascii="Arial" w:eastAsia="Arial" w:hAnsi="Arial" w:cs="Arial"/>
          <w:color w:val="000000"/>
          <w:sz w:val="16"/>
          <w:szCs w:val="16"/>
        </w:rPr>
        <w:t xml:space="preserve">” means a Personal Data Breach as defined in Article 4 of the GDPR. </w:t>
      </w:r>
    </w:p>
    <w:p w14:paraId="7ACDE97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Service</w:t>
      </w:r>
      <w:r>
        <w:rPr>
          <w:rFonts w:ascii="Arial" w:eastAsia="Arial" w:hAnsi="Arial" w:cs="Arial"/>
          <w:color w:val="000000"/>
          <w:sz w:val="16"/>
          <w:szCs w:val="16"/>
        </w:rPr>
        <w:t xml:space="preserve">” means the product and/or services described in the </w:t>
      </w:r>
      <w:r>
        <w:rPr>
          <w:rFonts w:ascii="Arial" w:eastAsia="Arial" w:hAnsi="Arial" w:cs="Arial"/>
          <w:b/>
          <w:color w:val="107087"/>
          <w:sz w:val="16"/>
          <w:szCs w:val="16"/>
        </w:rPr>
        <w:t>Agreement</w:t>
      </w:r>
      <w:r>
        <w:rPr>
          <w:rFonts w:ascii="Arial" w:eastAsia="Arial" w:hAnsi="Arial" w:cs="Arial"/>
          <w:color w:val="000000"/>
          <w:sz w:val="16"/>
          <w:szCs w:val="16"/>
        </w:rPr>
        <w:t>.</w:t>
      </w:r>
    </w:p>
    <w:p w14:paraId="488390A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Special Category Data</w:t>
      </w:r>
      <w:r>
        <w:rPr>
          <w:rFonts w:ascii="Arial" w:eastAsia="Arial" w:hAnsi="Arial" w:cs="Arial"/>
          <w:color w:val="000000"/>
          <w:sz w:val="16"/>
          <w:szCs w:val="16"/>
        </w:rPr>
        <w:t xml:space="preserve">” will have the meaning given in Article 9 of the GDPR. </w:t>
      </w:r>
    </w:p>
    <w:p w14:paraId="7A50C5CE"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Subprocessor</w:t>
      </w:r>
      <w:r>
        <w:rPr>
          <w:rFonts w:ascii="Arial" w:eastAsia="Arial" w:hAnsi="Arial" w:cs="Arial"/>
          <w:color w:val="000000"/>
          <w:sz w:val="16"/>
          <w:szCs w:val="16"/>
        </w:rPr>
        <w:t>” will have the meaning(s) given in the Applicable Data Protection Laws for a company that, with the approval and acceptance of Controller, assists the Processor in Processing Personal Data on behalf of the Controller.</w:t>
      </w:r>
    </w:p>
    <w:p w14:paraId="07C17510"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UK GDPR</w:t>
      </w:r>
      <w:r>
        <w:rPr>
          <w:rFonts w:ascii="Arial" w:eastAsia="Arial" w:hAnsi="Arial" w:cs="Arial"/>
          <w:color w:val="000000"/>
          <w:sz w:val="16"/>
          <w:szCs w:val="16"/>
        </w:rPr>
        <w:t>” means European Union Regulation 2016/679 as implemented by section 3 of the United Kingdom’s European Union (Withdrawal) Act of 2018 in the United Kingdom.</w:t>
      </w:r>
    </w:p>
    <w:p w14:paraId="23B498A4" w14:textId="77777777" w:rsidR="00170C6E" w:rsidRDefault="00000000">
      <w:pPr>
        <w:numPr>
          <w:ilvl w:val="1"/>
          <w:numId w:val="1"/>
        </w:numPr>
        <w:pBdr>
          <w:top w:val="nil"/>
          <w:left w:val="nil"/>
          <w:bottom w:val="nil"/>
          <w:right w:val="nil"/>
          <w:between w:val="nil"/>
        </w:pBdr>
        <w:spacing w:after="120"/>
        <w:ind w:left="0" w:firstLine="180"/>
        <w:rPr>
          <w:color w:val="000000"/>
          <w:sz w:val="16"/>
          <w:szCs w:val="16"/>
        </w:rPr>
      </w:pPr>
      <w:r>
        <w:rPr>
          <w:rFonts w:ascii="Arial" w:eastAsia="Arial" w:hAnsi="Arial" w:cs="Arial"/>
          <w:color w:val="000000"/>
          <w:sz w:val="16"/>
          <w:szCs w:val="16"/>
        </w:rPr>
        <w:t>“</w:t>
      </w:r>
      <w:r>
        <w:rPr>
          <w:rFonts w:ascii="Arial" w:eastAsia="Arial" w:hAnsi="Arial" w:cs="Arial"/>
          <w:b/>
          <w:color w:val="000000"/>
          <w:sz w:val="16"/>
          <w:szCs w:val="16"/>
        </w:rPr>
        <w:t>UK Addendum</w:t>
      </w:r>
      <w:r>
        <w:rPr>
          <w:rFonts w:ascii="Arial" w:eastAsia="Arial" w:hAnsi="Arial" w:cs="Arial"/>
          <w:color w:val="000000"/>
          <w:sz w:val="16"/>
          <w:szCs w:val="16"/>
        </w:rPr>
        <w:t>” means the international data transfer addendum to the EEA SCCs issued by the Information Commissioner for Parties making Restricted Transfers under S119A(1) Data Protection Act 2018.</w:t>
      </w:r>
    </w:p>
    <w:p w14:paraId="62509D66" w14:textId="77777777" w:rsidR="00170C6E" w:rsidRDefault="00170C6E">
      <w:pPr>
        <w:spacing w:after="120"/>
        <w:rPr>
          <w:rFonts w:ascii="Arial" w:eastAsia="Arial" w:hAnsi="Arial" w:cs="Arial"/>
          <w:sz w:val="16"/>
          <w:szCs w:val="16"/>
        </w:rPr>
      </w:pPr>
    </w:p>
    <w:sectPr w:rsidR="00170C6E">
      <w:headerReference w:type="default" r:id="rId15"/>
      <w:pgSz w:w="12240" w:h="15840"/>
      <w:pgMar w:top="1080" w:right="1080" w:bottom="108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85993" w14:textId="77777777" w:rsidR="00F63B2B" w:rsidRDefault="00F63B2B">
      <w:r>
        <w:separator/>
      </w:r>
    </w:p>
  </w:endnote>
  <w:endnote w:type="continuationSeparator" w:id="0">
    <w:p w14:paraId="2B335FF6" w14:textId="77777777" w:rsidR="00F63B2B" w:rsidRDefault="00F63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483E" w14:textId="77777777" w:rsidR="00170C6E" w:rsidRDefault="00170C6E">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80CD" w14:textId="77777777" w:rsidR="00170C6E" w:rsidRDefault="00000000">
    <w:pPr>
      <w:pBdr>
        <w:top w:val="nil"/>
        <w:left w:val="nil"/>
        <w:bottom w:val="nil"/>
        <w:right w:val="nil"/>
        <w:between w:val="nil"/>
      </w:pBdr>
      <w:tabs>
        <w:tab w:val="center" w:pos="4680"/>
        <w:tab w:val="right" w:pos="9360"/>
      </w:tabs>
      <w:rPr>
        <w:rFonts w:ascii="Arial" w:eastAsia="Arial" w:hAnsi="Arial" w:cs="Arial"/>
        <w:color w:val="000000"/>
        <w:sz w:val="13"/>
        <w:szCs w:val="13"/>
      </w:rPr>
    </w:pPr>
    <w:r>
      <w:rPr>
        <w:rFonts w:ascii="Arial" w:eastAsia="Arial" w:hAnsi="Arial" w:cs="Arial"/>
        <w:color w:val="000000"/>
        <w:sz w:val="13"/>
        <w:szCs w:val="13"/>
      </w:rPr>
      <w:t>Common Paper Data Processing Agreement (</w:t>
    </w:r>
    <w:hyperlink r:id="rId1">
      <w:r>
        <w:rPr>
          <w:rFonts w:ascii="Arial" w:eastAsia="Arial" w:hAnsi="Arial" w:cs="Arial"/>
          <w:color w:val="000000"/>
          <w:sz w:val="13"/>
          <w:szCs w:val="13"/>
          <w:u w:val="single"/>
        </w:rPr>
        <w:t>Version 1.1</w:t>
      </w:r>
    </w:hyperlink>
    <w:r>
      <w:rPr>
        <w:rFonts w:ascii="Arial" w:eastAsia="Arial" w:hAnsi="Arial" w:cs="Arial"/>
        <w:color w:val="000000"/>
        <w:sz w:val="13"/>
        <w:szCs w:val="13"/>
      </w:rPr>
      <w:t xml:space="preserve">) free to use under </w:t>
    </w:r>
    <w:hyperlink r:id="rId2">
      <w:r>
        <w:rPr>
          <w:rFonts w:ascii="Arial" w:eastAsia="Arial" w:hAnsi="Arial" w:cs="Arial"/>
          <w:color w:val="000000"/>
          <w:sz w:val="13"/>
          <w:szCs w:val="13"/>
          <w:u w:val="single"/>
        </w:rPr>
        <w:t>CC BY 4.0</w:t>
      </w:r>
    </w:hyperlink>
    <w:r>
      <w:rPr>
        <w:rFonts w:ascii="Arial" w:eastAsia="Arial" w:hAnsi="Arial" w:cs="Arial"/>
        <w:color w:val="000000"/>
        <w:sz w:val="13"/>
        <w:szCs w:val="13"/>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18C5" w14:textId="77777777" w:rsidR="00170C6E" w:rsidRDefault="00170C6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C369" w14:textId="77777777" w:rsidR="00F63B2B" w:rsidRDefault="00F63B2B">
      <w:r>
        <w:separator/>
      </w:r>
    </w:p>
  </w:footnote>
  <w:footnote w:type="continuationSeparator" w:id="0">
    <w:p w14:paraId="2B281055" w14:textId="77777777" w:rsidR="00F63B2B" w:rsidRDefault="00F63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FB50" w14:textId="77777777" w:rsidR="00170C6E" w:rsidRDefault="00170C6E">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07A1" w14:textId="77777777" w:rsidR="00170C6E"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0E22A669" wp14:editId="6256BB98">
          <wp:simplePos x="0" y="0"/>
          <wp:positionH relativeFrom="page">
            <wp:align>left</wp:align>
          </wp:positionH>
          <wp:positionV relativeFrom="page">
            <wp:align>top</wp:align>
          </wp:positionV>
          <wp:extent cx="7927848" cy="137160"/>
          <wp:effectExtent l="0" t="0" r="0" b="0"/>
          <wp:wrapSquare wrapText="bothSides" distT="0" distB="0" distL="0" distR="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COVER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6771" w14:textId="77777777" w:rsidR="00170C6E" w:rsidRDefault="00170C6E">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5FE1" w14:textId="77777777" w:rsidR="00170C6E"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3467B1ED" wp14:editId="0921A6AB">
          <wp:simplePos x="0" y="0"/>
          <wp:positionH relativeFrom="page">
            <wp:align>left</wp:align>
          </wp:positionH>
          <wp:positionV relativeFrom="page">
            <wp:align>top</wp:align>
          </wp:positionV>
          <wp:extent cx="7927848" cy="137160"/>
          <wp:effectExtent l="0" t="0" r="0" b="0"/>
          <wp:wrapSquare wrapText="bothSides" distT="0" distB="0" distL="0" distR="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56C35"/>
    <w:multiLevelType w:val="multilevel"/>
    <w:tmpl w:val="12906D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4492AAC"/>
    <w:multiLevelType w:val="multilevel"/>
    <w:tmpl w:val="92DEBE98"/>
    <w:lvl w:ilvl="0">
      <w:start w:val="1"/>
      <w:numFmt w:val="decimal"/>
      <w:lvlText w:val="%1."/>
      <w:lvlJc w:val="left"/>
      <w:pPr>
        <w:ind w:left="360" w:hanging="360"/>
      </w:pPr>
      <w:rPr>
        <w:b/>
      </w:rPr>
    </w:lvl>
    <w:lvl w:ilvl="1">
      <w:start w:val="1"/>
      <w:numFmt w:val="decimal"/>
      <w:lvlText w:val="%1.%2"/>
      <w:lvlJc w:val="left"/>
      <w:pPr>
        <w:ind w:left="792" w:hanging="432"/>
      </w:pPr>
      <w:rPr>
        <w:rFonts w:ascii="Arial" w:eastAsia="Arial" w:hAnsi="Arial" w:cs="Arial"/>
        <w:b w:val="0"/>
      </w:rPr>
    </w:lvl>
    <w:lvl w:ilvl="2">
      <w:start w:val="1"/>
      <w:numFmt w:val="lowerLetter"/>
      <w:lvlText w:val="(%3)"/>
      <w:lvlJc w:val="left"/>
      <w:pPr>
        <w:ind w:left="1224" w:hanging="504"/>
      </w:pPr>
    </w:lvl>
    <w:lvl w:ilvl="3">
      <w:start w:val="1"/>
      <w:numFmt w:val="lowerRoman"/>
      <w:lvlText w:val="(%4)"/>
      <w:lvlJc w:val="right"/>
      <w:pPr>
        <w:ind w:left="1800" w:hanging="36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4732360">
    <w:abstractNumId w:val="1"/>
  </w:num>
  <w:num w:numId="2" w16cid:durableId="234629223">
    <w:abstractNumId w:val="0"/>
  </w:num>
  <w:num w:numId="3" w16cid:durableId="935214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84025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1151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69505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5487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2452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4740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C6E"/>
    <w:rsid w:val="00065124"/>
    <w:rsid w:val="00170C6E"/>
    <w:rsid w:val="00EC6F23"/>
    <w:rsid w:val="00F63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95F8C"/>
  <w15:docId w15:val="{1A630FEF-852D-D34F-AD88-38D97FA6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next w:val="Normal"/>
    <w:uiPriority w:val="9"/>
    <w:qFormat/>
    <w:pPr>
      <w:keepNext/>
      <w:keepLines/>
      <w:spacing w:before="480" w:after="120"/>
      <w:outlineLvl w:val="0"/>
    </w:pPr>
    <w:rPr>
      <w:b/>
      <w:sz w:val="48"/>
      <w:szCs w:val="48"/>
    </w:rPr>
  </w:style>
  <w:style w:type="paragraph" w:styleId="Heading2">
    <w:name w:val="heading 2"/>
    <w:aliases w:val="JAIN HEADING 2,l2,2. Body Not Side-by-Side,h2,Heading 2n,Chapter Number/Appendix heading 3,Chapter Number/Appendix heading 31,Chapter Number/Appendix heading 32,Chapter Number/Appendix heading 33,Chapter Number/Appendix heading 311,H2,L2,H21"/>
    <w:basedOn w:val="Normal"/>
    <w:next w:val="Normal"/>
    <w:uiPriority w:val="9"/>
    <w:semiHidden/>
    <w:unhideWhenUsed/>
    <w:qFormat/>
    <w:pPr>
      <w:keepNext/>
      <w:keepLines/>
      <w:spacing w:before="360" w:after="80"/>
      <w:outlineLvl w:val="1"/>
    </w:pPr>
    <w:rPr>
      <w:b/>
      <w:sz w:val="36"/>
      <w:szCs w:val="36"/>
    </w:rPr>
  </w:style>
  <w:style w:type="paragraph" w:styleId="Heading3">
    <w:name w:val="heading 3"/>
    <w:aliases w:val="h3"/>
    <w:basedOn w:val="Normal"/>
    <w:next w:val="Normal"/>
    <w:uiPriority w:val="9"/>
    <w:semiHidden/>
    <w:unhideWhenUsed/>
    <w:qFormat/>
    <w:pPr>
      <w:keepNext/>
      <w:keepLines/>
      <w:spacing w:before="280" w:after="80"/>
      <w:outlineLvl w:val="2"/>
    </w:pPr>
    <w:rPr>
      <w:b/>
      <w:sz w:val="28"/>
      <w:szCs w:val="28"/>
    </w:rPr>
  </w:style>
  <w:style w:type="paragraph" w:styleId="Heading4">
    <w:name w:val="heading 4"/>
    <w:aliases w:val="h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link w:val="Heading7Char"/>
    <w:qFormat/>
    <w:rsid w:val="00E31912"/>
    <w:pPr>
      <w:spacing w:after="240"/>
      <w:ind w:firstLine="576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E31912"/>
    <w:pPr>
      <w:spacing w:after="240"/>
      <w:ind w:firstLine="648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E31912"/>
    <w:pPr>
      <w:spacing w:after="240"/>
      <w:ind w:firstLine="720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04A1F"/>
    <w:pPr>
      <w:tabs>
        <w:tab w:val="center" w:pos="4680"/>
        <w:tab w:val="right" w:pos="9360"/>
      </w:tabs>
    </w:pPr>
  </w:style>
  <w:style w:type="character" w:customStyle="1" w:styleId="HeaderChar">
    <w:name w:val="Header Char"/>
    <w:basedOn w:val="DefaultParagraphFont"/>
    <w:link w:val="Header"/>
    <w:uiPriority w:val="99"/>
    <w:rsid w:val="00904A1F"/>
  </w:style>
  <w:style w:type="paragraph" w:styleId="Footer">
    <w:name w:val="footer"/>
    <w:basedOn w:val="Normal"/>
    <w:link w:val="FooterChar"/>
    <w:uiPriority w:val="99"/>
    <w:unhideWhenUsed/>
    <w:rsid w:val="00904A1F"/>
    <w:pPr>
      <w:tabs>
        <w:tab w:val="center" w:pos="4680"/>
        <w:tab w:val="right" w:pos="9360"/>
      </w:tabs>
    </w:pPr>
  </w:style>
  <w:style w:type="character" w:customStyle="1" w:styleId="FooterChar">
    <w:name w:val="Footer Char"/>
    <w:basedOn w:val="DefaultParagraphFont"/>
    <w:link w:val="Footer"/>
    <w:uiPriority w:val="99"/>
    <w:rsid w:val="00904A1F"/>
  </w:style>
  <w:style w:type="table" w:styleId="TableGrid">
    <w:name w:val="Table Grid"/>
    <w:basedOn w:val="TableNormal"/>
    <w:uiPriority w:val="39"/>
    <w:rsid w:val="00EA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8F5"/>
    <w:rPr>
      <w:color w:val="0563C1" w:themeColor="hyperlink"/>
      <w:u w:val="single"/>
    </w:rPr>
  </w:style>
  <w:style w:type="character" w:styleId="UnresolvedMention">
    <w:name w:val="Unresolved Mention"/>
    <w:basedOn w:val="DefaultParagraphFont"/>
    <w:uiPriority w:val="99"/>
    <w:semiHidden/>
    <w:unhideWhenUsed/>
    <w:rsid w:val="002408F5"/>
    <w:rPr>
      <w:color w:val="605E5C"/>
      <w:shd w:val="clear" w:color="auto" w:fill="E1DFDD"/>
    </w:rPr>
  </w:style>
  <w:style w:type="paragraph" w:styleId="Revision">
    <w:name w:val="Revision"/>
    <w:hidden/>
    <w:uiPriority w:val="99"/>
    <w:semiHidden/>
    <w:rsid w:val="009563E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CommentReference">
    <w:name w:val="annotation reference"/>
    <w:basedOn w:val="DefaultParagraphFont"/>
    <w:uiPriority w:val="99"/>
    <w:semiHidden/>
    <w:unhideWhenUsed/>
    <w:rsid w:val="006772C8"/>
    <w:rPr>
      <w:sz w:val="16"/>
      <w:szCs w:val="16"/>
    </w:rPr>
  </w:style>
  <w:style w:type="paragraph" w:styleId="CommentText">
    <w:name w:val="annotation text"/>
    <w:basedOn w:val="Normal"/>
    <w:link w:val="CommentTextChar"/>
    <w:uiPriority w:val="99"/>
    <w:semiHidden/>
    <w:unhideWhenUsed/>
    <w:rsid w:val="006772C8"/>
    <w:rPr>
      <w:sz w:val="20"/>
      <w:szCs w:val="20"/>
    </w:rPr>
  </w:style>
  <w:style w:type="character" w:customStyle="1" w:styleId="CommentTextChar">
    <w:name w:val="Comment Text Char"/>
    <w:basedOn w:val="DefaultParagraphFont"/>
    <w:link w:val="CommentText"/>
    <w:uiPriority w:val="99"/>
    <w:semiHidden/>
    <w:rsid w:val="006772C8"/>
    <w:rPr>
      <w:sz w:val="20"/>
      <w:szCs w:val="20"/>
    </w:rPr>
  </w:style>
  <w:style w:type="paragraph" w:styleId="CommentSubject">
    <w:name w:val="annotation subject"/>
    <w:basedOn w:val="CommentText"/>
    <w:next w:val="CommentText"/>
    <w:link w:val="CommentSubjectChar"/>
    <w:uiPriority w:val="99"/>
    <w:semiHidden/>
    <w:unhideWhenUsed/>
    <w:rsid w:val="006772C8"/>
    <w:rPr>
      <w:b/>
      <w:bCs/>
    </w:rPr>
  </w:style>
  <w:style w:type="character" w:customStyle="1" w:styleId="CommentSubjectChar">
    <w:name w:val="Comment Subject Char"/>
    <w:basedOn w:val="CommentTextChar"/>
    <w:link w:val="CommentSubject"/>
    <w:uiPriority w:val="99"/>
    <w:semiHidden/>
    <w:rsid w:val="006772C8"/>
    <w:rPr>
      <w:b/>
      <w:bCs/>
      <w:sz w:val="20"/>
      <w:szCs w:val="2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Heading7Char">
    <w:name w:val="Heading 7 Char"/>
    <w:basedOn w:val="DefaultParagraphFont"/>
    <w:link w:val="Heading7"/>
    <w:rsid w:val="00E31912"/>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E31912"/>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E31912"/>
    <w:rPr>
      <w:rFonts w:ascii="Times New Roman" w:eastAsia="Times New Roman" w:hAnsi="Times New Roman" w:cs="Times New Roman"/>
      <w:sz w:val="20"/>
      <w:szCs w:val="20"/>
    </w:rPr>
  </w:style>
  <w:style w:type="paragraph" w:styleId="ListParagraph">
    <w:name w:val="List Paragraph"/>
    <w:basedOn w:val="Normal"/>
    <w:uiPriority w:val="34"/>
    <w:qFormat/>
    <w:rsid w:val="00E31912"/>
    <w:pPr>
      <w:ind w:left="720"/>
      <w:contextualSpacing/>
    </w:pPr>
  </w:style>
  <w:style w:type="numbering" w:customStyle="1" w:styleId="CurrentList1">
    <w:name w:val="Current List1"/>
    <w:uiPriority w:val="99"/>
    <w:rsid w:val="009534EA"/>
  </w:style>
  <w:style w:type="numbering" w:customStyle="1" w:styleId="CurrentList2">
    <w:name w:val="Current List2"/>
    <w:uiPriority w:val="99"/>
    <w:rsid w:val="009534EA"/>
  </w:style>
  <w:style w:type="numbering" w:customStyle="1" w:styleId="CurrentList3">
    <w:name w:val="Current List3"/>
    <w:uiPriority w:val="99"/>
    <w:rsid w:val="00341211"/>
  </w:style>
  <w:style w:type="numbering" w:customStyle="1" w:styleId="CurrentList4">
    <w:name w:val="Current List4"/>
    <w:uiPriority w:val="99"/>
    <w:rsid w:val="00341211"/>
  </w:style>
  <w:style w:type="numbering" w:customStyle="1" w:styleId="CurrentList5">
    <w:name w:val="Current List5"/>
    <w:uiPriority w:val="99"/>
    <w:rsid w:val="00341211"/>
  </w:style>
  <w:style w:type="numbering" w:customStyle="1" w:styleId="CurrentList6">
    <w:name w:val="Current List6"/>
    <w:uiPriority w:val="99"/>
    <w:rsid w:val="00FF757B"/>
  </w:style>
  <w:style w:type="numbering" w:customStyle="1" w:styleId="CurrentList7">
    <w:name w:val="Current List7"/>
    <w:uiPriority w:val="99"/>
    <w:rsid w:val="00FF757B"/>
  </w:style>
  <w:style w:type="numbering" w:customStyle="1" w:styleId="CurrentList8">
    <w:name w:val="Current List8"/>
    <w:uiPriority w:val="99"/>
    <w:rsid w:val="00FF757B"/>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15" w:type="dxa"/>
        <w:bottom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ommonpaper.com/standards/data-processing-agreement/1.1/"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data-processing-agreement/1.1"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k6Gpu9Ehc26EeiHZkbuaPnoHQ==">CgMxLjAyDmguaXZmMGJrcXMxcG85Mg5oLmNreDRyMHEzYmczdjIOaC45dzAxMG51MDh1OXAyDmguazR3c2l1cmFvdXNlOAByITFMMFZHRDVUYlIzSVQ5WDY1RDY1Y05qUVJZbEFuaGc0UA==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4805</Words>
  <Characters>27394</Characters>
  <Application>Microsoft Office Word</Application>
  <DocSecurity>0</DocSecurity>
  <Lines>228</Lines>
  <Paragraphs>64</Paragraphs>
  <ScaleCrop>false</ScaleCrop>
  <Company/>
  <LinksUpToDate>false</LinksUpToDate>
  <CharactersWithSpaces>32135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2</cp:revision>
  <dcterms:created xsi:type="dcterms:W3CDTF">2023-06-07T17:58:00Z</dcterms:created>
  <dcterms:modified xsi:type="dcterms:W3CDTF">2025-05-14T17:12:00Z</dcterms:modified>
</cp:coreProperties>
</file>