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{michigan_consideration}</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reasonable competitive business interests a Michigan covenant may protect under MCL § 445.774a(1), namely Employer's Confidential Information, Employer's trade secrets as defined by the Michigan Uniform Trade Secrets Act (MCL § 445.1902(d)), and Employer's relationships and goodwill with its customers, patients, referral sources, and business partners, but not Employer's interest in avoiding ordinary competition and not the general knowledge or skill of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Michigan Uniform Trade Secrets Act, MCL § 445.1902(d).</w:t>
      </w:r>
    </w:p>
    <w:p>
      <w:pPr>
        <w:pStyle w:val="OABody"/>
        <w:keepNext/>
        <w:numPr>
          <w:ilvl w:val="0"/>
          <w:numId w:val="1"/>
        </w:numPr>
        <w:spacing w:before="320" w:after="120" w:line="340" w:lineRule="auto"/>
        <w:jc w:val="left"/>
      </w:pPr>
      <w:r>
        <w:rPr>
          <w:b/>
          <w:bCs/>
        </w:rPr>
        <w:t xml:space="preserve">Recitals and Reasonable Competitive Business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intended to protect against Employee gaining an unfair advantage in competition with Employer, not to bar ordinary competition, not to prohibit Employee from using general knowledge or skill, and to be reasonable as to its duration, geographical area, and the type of employment or line of business. Employer would not provide Employee with access to these Protected Interests absent the protections in this agreement. This agreement is an employee restrictive covenant; a covenant ancillary to the sale of a business or between businesses is outside the scope of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consideration, which the parties identify as </w:t>
      </w:r>
      <w:r>
        <w:rPr>
          <w:highlight w:val="yellow"/>
        </w:rPr>
        <w:t xml:space="preserve">{michigan_consideration}</w:t>
      </w:r>
      <w:r>
        <w:t xml:space="preserve">. Where Employee is a genuine at-will employee, the parties agree that continued employment is sufficient consideration for the covenants; where Employee is a just-cause or contract employee, the parties agree that continued employment alone is not sufficient and that separate identifiable consideration supports the covenants. Employee acknowledges having had the opportunity to consult with independent legal counsel before signing this agreement. Employee acknowledges that the restrictions in this agreement are reasonable and necessary to protect Employer's Protected Interests, and understands that supporting consideration establishes only that the covenants are supported, not that they are reasonable — each covenant must independently be reasonable as to its duration, geography, and line of business.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reasonable efforts to maintain the secrecy of its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drawn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protects Employer's reasonable competitive business interest in its customer relationships and the confidential information behind them; it reaches only Covered Customers with whom Employee had material contact and is no broader than necessary, because a non-solicit that followed every customer Employer has ever billed would protect against ordinary competition rather than an unfair advantage. Together with the confidentiality and trade-secret protections in this agreement, this covenant is often a stronger and more readily enforceable protection than a broad non-compete.</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it restrains the Covered Customer's choice as much as Employee's conduct. Because an employer has no unlimited right to restrict the business choices of its clients, this covenant is sized tightly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relationships — and not to restrain ordinary competition or Employee's general knowledge or skill. The parties intend this covenant to protect a reasonable competitive business interest and to be reasonable as to its duration, geographical area, and the type of employment or line of business, with its scope sized to Employee's actual role and Employer's actual market. If Employer has identified specific competitors in Cover Terms under Specified Competitors, the parties intend this covenant to be understood and, if necessary, enforced as limited to those named competitors, because a restraint bound to named competitors is strong evidence that it targets an unfair advantage rather than ordinary competition.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functions as a covenant not to compete and is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any covenant in this agreement restraining Employee from practicing is intended to use a reasonable radius and term sized to the interest protected and to apply only to the extent it is reasonable as to its duration, geographical area, and line of business.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such extension is itself a restraint, is limited to what remains reasonable, and is not intended to be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for actual or threatened misappropriation of a trade secret under the Michigan Uniform Trade Secrets Act.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To the extent a covenant in this agreement is found to be unreasonable in any respect, MCL § 445.774a(1) empowers a court to limit the agreement to render it reasonable in light of the circumstances in which it was made and to specifically enforce the agreement as limited, and Employer requests such reformation if any restraint in this agreement is found to be overbroad. Each restrictive covenant in this agreement is nonetheless drawn as a reasonable, severable restraint with its scope, geography, and duration sized to the Protected Interests from the outset, and is intended to be enforceable as written rather than in reliance on judicial narrowing.</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whoever enforces these covenants must still tie each restraint to a reasonable competitive business interest that the assignee or successor actually holds.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Michigan law governs, the enforceability of each restrictive covenant is determined under its reasonableness framework, and there is no fixed numeric safe harbor, so each covenant is drafted to survive the reasonableness analysis rather than to escape it. The parties agree to a Michigan forum for disputes arising out of or relating to this agreement. Disputes will be resolved in the courts of the Governing Law state, subject to non-waivable rights under applicable law. The parties intend that the governing-law and venue choices match where Employee actually lives and works and be drafted as a coherent pair.</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The parties intend that this merger clause make clear exactly which signed document carries the restrictive covenants and what was exchanged for them.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