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{new_hampshire_consideration}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New Hampshire recognizes as protectable by a restrictive covenant: Employer's trade secrets communicated to Employee during employment; confidential information other than trade secrets, such as a unique business method; Employee's special influence over Employer's customers obtained during employment; contacts developed during the employment; and Employer's goodwill and positive image. The mere cost of recruiting and hiring employees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Hampshire Uniform Trade Secrets Act, RSA 350-B:1, IV — information that derives independent economic value from not being generally known or readily ascertainable by proper means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supported by, and no greater than required to protect, one or more of Employer's Protected Interests. Each covenant is intended to be no greater than necessary for the protection of Employer's legitimate interest, to impose no undue hardship on Employee, and to cause no injury to the public interest. The interests this agreement protects are Employer's trade secrets, confidential information beyond trade secrets, Employee's special influence over Employer's customers, contacts developed during the employment, and Employer's goodwill, and not the mere cost of recruiting and hiring employees.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highlight w:val="yellow"/>
        </w:rPr>
        <w:t xml:space="preserve">{new_hampshire_consideration}</w:t>
      </w:r>
      <w:r>
        <w:t xml:space="preserve">. Employee acknowledges that continued employment after signing this agreement constitutes consideration for the restrictive covenants. If Employee had not previously been employed by Employer and is required to execute this agreement's noncompete as a condition of employment, Employer has provided Employee with a copy of this agreement before Employee accepted the offer of employment, as RSA 275:70 requires, and an undisclosed new-hire noncompete is unenforceable while all other provisions of this agreement remain in full force and effect. Employer has given Employee a reasonable opportunity to review this agreement and to consult an attorney before signing. Employee acknowledges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These confidentiality and trade-secret obligations are in addition to any remedy available under applicable law, including the New Hampshire Uniform Trade Secrets Act, RSA chapter 350-B. These obligations protect Employer's Confidential Information regardless of where Employee works and are independent of the Clinician Geographic-Practice Carve-Out below.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protects Employer's Protected Interests in the departing team's customer relationships and confidential know-how, and not the mere cost of recruiting and hiring.</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Covered Customers within Employee's own sphere of customer goodwill and does not reach Employer's full customer base. It protects Employer's Protected Interest in Employee's special influence over Employer's customers, obtained during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reaches further from Employee's own customer influence, it is drawn to the Covered Customers within Employee's sphere of customer goodwill and is no greater than necessary to protect Employer's Protected Interests.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no greater than necessary to protect Employer's Protected Interests, imposes no undue hardship on Employee, and is not injurious to the public interest; the Restricted Territory is limited to the area of Employee's actual customer or patient contact, and the duration is tailored to the interest protected. This covenant does not apply, and Employer will not require or enforce it, against Employee if Employee earns an hourly rate at or below 200 percent of the federal minimum wage, the threshold set by RSA 275:70-a; and, for a new hire required to sign as a condition of employment, this covenant is subject to the RSA 275:70 pre-acceptance delivery in the Timing, Consideration, and Pre-Acceptance Delivery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it is therefore subject to the same RSA 275:70-a wage-based exclusion and the same RSA 275:70 pre-acceptance delivery condition for a new hire as the Non-Competition covenant in this agreement, and is drawn no broader than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of this agreement, this agreement does not restrict, and Employer will not require or enforce any restriction on, the right of a covered New Hampshire clinician — a physician, nurse, advanced practice registered nurse, or podiatrist licensed by the applicable board — to practice in any geographic area for any period of time after the partnership, employment, or professional relationship ends, consistent with RSA 329:31-a, RSA 326-B:45-a, RSA 326-B:45-b, and RSA 315:18; the remaining provisions of this agreement remain in full force and effect. Where Employer's concern is protecting Confidential Information or trade secrets rather than practice location, that concern is addressed by the Confidential Information and Trade Secret Protection section.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is enforceable under New Hampshire law. Employer will not assert against a third party a covenant that is unenforceable or void — including a noncompete undisclosed to a new hire under RSA 275:70 or a noncompete barred by the RSA 275:70-a wage-based exclusion.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clause is tied to the protected interest and the covenant's overall duration, and the parties do not assume a court will carry any period beyond the agreement's fair and natural meaning.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Consistent with RSA 275:70, if the noncompete is unenforceable for failure of pre-acceptance disclosure, that result does not affect the other provisions of this agreement, which remain in full force and effect.</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This agreement does not rely on judicial reformation to cure overbreadth: each restrictive covenant is drawn no broader than necessary and is intended to be enforceable as written. A court is nonetheless requested to reform rather than void any restraint found to be overbroad, to the extent New Hampshire law permits and consistent with the good-faith execution the Timing, Consideration, and Pre-Acceptance Delivery section preserves.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and this agreement's covenants are conveyed by that assignment under its plain terms.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state listed in Cover Terms under Governing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