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a New Jersey covenant may protect under the common-law reasonableness rule, namely Employer's trade secrets as defined by the New Jersey Trade Secrets Act (N.J.S.A. 56:15-2), Employer's confidential business information, and Employer's customer relationships, but not Employer's interest in avoiding ordinary competition or the employee's general skill and knowledge.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New Jersey Trade Secrets Act, N.J.S.A. 56:15-2.</w:t>
      </w:r>
    </w:p>
    <w:p>
      <w:pPr>
        <w:pStyle w:val="OABody"/>
        <w:keepNext/>
        <w:numPr>
          <w:ilvl w:val="0"/>
          <w:numId w:val="1"/>
        </w:numPr>
        <w:spacing w:before="320" w:after="120" w:line="340" w:lineRule="auto"/>
        <w:jc w:val="left"/>
      </w:pPr>
      <w:r>
        <w:rPr>
          <w:b/>
          <w:bCs/>
        </w:rPr>
        <w:t xml:space="preserve">Recitals and Legitimate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reasonable for that protection. The recognized Protected Interests are Employer's trade secrets, confidential business information, and customer relationships; a covenant that merely suppresses ordinary competition or the employee's general skill and knowledge protects nothing this agreement is meant to protect. The parties acknowledge that Employer would not provide Employee with access to these Protected Interests absent the protections in this agreement. Each covenant is intended to be reasonable in time, territory, and scope, to impose no undue hardship on Employee, and to cause no injury to the public.</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If Employee is an existing employee, the parties agree that the continuation of Employee's employment after acknowledging the covenants in this agreement is itself sufficient consideration, and no separate payment, raise, or promotion is required. If this agreement is signed at the outset of employment, the offer and commencement of employment is the consideration. Employee acknowledges having had the opportunity to consult with independent legal counsel before signing this agreement. Employee acknowledges that the restrictions in this agreement are reasonable and necessary to protect Employer's Protected Interests, and understands that adequate consideration establishes only that the covenants are supported, not that they are reasonable, and that each covenant must independently be reasonable in the interest it protects, the hardship it imposes, and its effect on the public.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serve as part of Employer's efforts reasonable under the circumstances to maintain the secrecy of its trade secrets, as contemplated by the New Jersey Trade Secrets Act, N.J.S.A. 56:15-2.</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no broader than necessary to protect Employer's workforce stability and customer relationships.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and is no broader than necessary to protect Employer's customer relationships.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and it is sized tightly to the customer relationships it protects, reaching only Covered Customers with whom Employee had material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trade secrets, confidential business information, and customer relationships — and not to restrain ordinary competition or the general skill and knowledge Employee acquired. The parties intend this covenant to protect Employer's legitimate interests, to impose no undue hardship on Employee, and to cause no injury to the public, with its time and territory sized to Employee's actual role and Employer's actual market. If Employer has identified specific competitors in Cover Terms under Specified Competitors, the parties intend this covenant to be understood and, if necessary, enforced as limited to those named competitors.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Because this covenant restrains active roles at and material participation in a Competitive Business, it is a post-employment restraint drawn no broader than necessary to protect Employer's Protected Interests.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 Consistent with the discrimination-claim concealment carve-out below, no part of this section has the purpose or effect of concealing the details relating to a claim of discrimination, retaliation, or harassment.</w:t>
      </w:r>
    </w:p>
    <w:p>
      <w:pPr>
        <w:pStyle w:val="OABody"/>
        <w:keepNext/>
        <w:numPr>
          <w:ilvl w:val="0"/>
          <w:numId w:val="1"/>
        </w:numPr>
        <w:spacing w:before="320" w:after="120" w:line="340" w:lineRule="auto"/>
        <w:jc w:val="left"/>
      </w:pPr>
      <w:r>
        <w:rPr>
          <w:b/>
          <w:bCs/>
        </w:rPr>
        <w:t xml:space="preserve">Discrimination, Retaliation, and Harassment Claims Not Concealed</w:t>
      </w:r>
    </w:p>
    <w:p>
      <w:pPr>
        <w:pStyle w:val="OABody"/>
        <w:spacing w:before="0" w:after="120" w:line="340" w:lineRule="auto"/>
        <w:ind w:left="720"/>
      </w:pPr>
      <w:r>
        <w:t xml:space="preserve">No provision of this agreement, including any confidentiality or non-disparagement obligation, has the purpose or effect of concealing the details relating to a claim of discrimination, retaliation, or harassment. Under N.J.S.A. 10:5-12.8(a), such a provision is against public policy and unenforceable against a current or former employee, whatever the label on the clause. This carve-out is surgical: N.J.S.A. 10:5-12.8(c) expressly preserves an employer's agreement that the employee not compete and not disclose proprietary information, so the covenant suite in this agreement remains intact and only the claim-details concealment is excluded.</w:t>
      </w:r>
    </w:p>
    <w:p>
      <w:pPr>
        <w:pStyle w:val="OABody"/>
        <w:keepNext/>
        <w:numPr>
          <w:ilvl w:val="0"/>
          <w:numId w:val="1"/>
        </w:numPr>
        <w:spacing w:before="320" w:after="120" w:line="340" w:lineRule="auto"/>
        <w:jc w:val="left"/>
      </w:pPr>
      <w:r>
        <w:rPr>
          <w:b/>
          <w:bCs/>
        </w:rPr>
        <w:t xml:space="preserve">No Practice Restrictions for Lawyers</w:t>
      </w:r>
    </w:p>
    <w:p>
      <w:pPr>
        <w:pStyle w:val="OABody"/>
        <w:spacing w:before="0" w:after="120" w:line="340" w:lineRule="auto"/>
        <w:ind w:left="720"/>
      </w:pPr>
      <w:r>
        <w:t xml:space="preserve">If Employee is a lawyer, no provision of this agreement restricts Employee's right to practice law after the relationship ends, apart from an agreement concerning benefits upon retirement. RPC 5.6 bars a lawyer from participating in offering or making a partnership or employment agreement that restricts post-termination practice rights. Any covenant in this agreement is void to the extent it would operate as such a restriction on a lawyer, including on in-house or corporate counsel practicing in New Jersey.</w:t>
      </w:r>
    </w:p>
    <w:p>
      <w:pPr>
        <w:pStyle w:val="OABody"/>
        <w:keepNext/>
        <w:numPr>
          <w:ilvl w:val="0"/>
          <w:numId w:val="1"/>
        </w:numPr>
        <w:spacing w:before="320" w:after="120" w:line="340" w:lineRule="auto"/>
        <w:jc w:val="left"/>
      </w:pPr>
      <w:r>
        <w:rPr>
          <w:b/>
          <w:bCs/>
        </w:rPr>
        <w:t xml:space="preserve">No Client-Access Restrictions for Psychologists</w:t>
      </w:r>
    </w:p>
    <w:p>
      <w:pPr>
        <w:pStyle w:val="OABody"/>
        <w:spacing w:before="0" w:after="120" w:line="340" w:lineRule="auto"/>
        <w:ind w:left="720"/>
      </w:pPr>
      <w:r>
        <w:t xml:space="preserve">If Employee is a licensed psychologist, no provision of this agreement interferes with or restricts a client's ability to see or continue to see his or her therapist of choice. N.J.A.C. 13:42-10.16 forbids a licensed psychologist from entering into any business agreement that so interferes. This bar operates independently of the common-law reasonableness weighing: a covenant whose duration and territory look reasonable still fails to the extent it would cut a client off from the treating psychologist, and any such covenant in this agreement is void to that extent.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any covenant in this agreement restraining Employee from the practice of medicine is drawn against New Jersey's heightened public-interest scrutiny for physician covenants and not as an ordinary commercial restraint. Any physician covenant in this agreement uses a narrow radius and a short term, preserves patient access and continuity of care, and is enforced only to the extent it survives that heightened scrutiny under the common-law reasonableness rule.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Any such disclosure is kept factual and tied to the covenant's actual terms.</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tolled and extended for the period during which Employee is in actual violation of the covenant, so that the full duration of the restriction runs from the date the violation ends. The extension is tied to Employee's actual violation and not to the mere passage of time or the pendency of litigation. The parties do not intend an automatic, open-ended, or indefinite extension.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New Jersey Trade Secrets Act (N.J.S.A. 56:15-1 et seq.), under which actual or threatened misappropriation of a trade secret may be enjoined independent of any covenant.</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or a court's decision to enforce a covenant only to a reasonable extent, does not affect the others.</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If any restraint in this agreement is found to be overbroad, Employer requests that a court enforce it to the extent reasonable rather than declining to enforce it at all. That latitude is no license to overreach: reformation is an equitable remedy, so each restrictive covenant in this agreement is drawn as a tiered, severable, reasonable restraint sized to the Protected Interests from the start and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 because a clause selecting another state's law requires the enforceability analysis to be re-run under that state's doctrine.</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Jersey)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Jersey)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Jersey)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