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Carolina</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and built customer relationships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defined by reference to the duties the employee actually performed rather than every line of the employer's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North Carolina covenant may protect, namely Employer's Confidential Information, Employer's trade secrets as defined by the North Carolina Trade Secrets Protection Act (N.C. Gen. Stat. § 66-152), and Employer's goodwill in its existing customer, vendor, referral-source, and business-partner relationships, but not Employer's interest in avoiding ordinary competition. A restraint can be reasonably necessary to protect these interests only where Employee, as a result of employment, acquired intimate knowledge of the nature and character of the business not otherwise generally available to the public.</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North Carolina Trade Secrets Protection Act, N.C. Gen. Stat. § 66-152(3).</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North Carolina has no general non-compete statute; each covenant is a partial restraint of trade, and the parties intend each to be supported by valuable consideration, reasonable as to time and territory, tied to a legitimate business interest, and not directed at ordinary competition. The parties intend each covenant to guard Employer's Confidential Information, trade secrets, and existing customer goodwill and not to eliminate ordinary competition.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and identify what that consideration is. If this agreement is signed at the outset of employment, the offer and commencement of employment is itself valuable consideration for the covenants and no separate payment is required. If Employee is an existing employee and signs after the employment relationship already exists, the parties agree that continued at-will employment is not sufficient consideration and that the covenants are instead supported by the new consideration stated in Cover Terms under Mid-Employment Consideration — such as a raise in pay, a new job assignment, or a stated payment — which the parties acknowledge actually moves. Employee acknowledges having had the opportunity to consult with independent legal counsel before signing this agreement. Employee acknowledges that valuable consideration establishes only that the covenants are supported, not that they are reasonable, and that each covenant must independently satisfy North Carolina's reasonableness requirements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in this agreement limits Employee's right to do business and is therefore unenforceable unless it is in writing and duly signed by Employee, the party who agrees not to compete (N.C. Gen. Stat. § 75-4). The parties intend Employee's signature on the Signature Page to satisfy that statutory requirement for every restraint covenant in this agreement, and acknowledge that there is no oral, implied, or course-of-conduct substitute for it. Any amendment that changes the scope of a covenant must likewise be in a writing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N.C. Gen. Stat. § 66-152(3).</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does not reach prospective clients Employer never obtained. This covenant maps directly onto Employer's goodwill in its existing customer relationships and operates together with the confidentiality and trade-secret protections in this agreement.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whether Employee or the Covered Customer first initiated contact. This restriction is broader than non-solicitation because it applies even if the Covered Customer approaches Employee. This covenant is a partial restraint sized at least as tightly as the customer non-solicitation beside it and reaches only existing Covered Customers.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partial restraint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uses a narrow radius and a short term, preserves patient access and continuity of care, and is enforced only to the extent applicable North Carolina public-policy limits permit. Nothing in this agreement enlarges such a covenant beyond what those limits allow.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such extension is itself a restraint that must remain reasonable and bounded, and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North Carolina Trade Secrets Protection Act, N.C. Gen. Stat. § 66-154,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This agreement does not rely on any reformation or savings clause to cure overbreadth, and none is intended to authorize judicial revision. Each restrictive covenant is drafted as a distinctly severable, reasonable unit — with time, territory, and activity scope separately stated so that each is reasonable standing alone (tiered territories, stepped durations, and separately stated restraints where used) — so that if a court strikes a distinctly separable unreasonable term, the remaining divisible and reasonable portions stay in full force and effect. A court's refusal to enforce one covenant, or its decision to enforce only a distinctly separable reasonable portion,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indefinitely to the extent they relate to trade secrets.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covenant entered into in North Carolina, this agreement does not require the prosecution of any action or the arbitration of any dispute arising from the agreement to be instituted or heard in another state, and disputes arising from such a covenant will be resolved in the courts of North Carolina as N.C. Gen. Stat. § 22B-3 requires,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as required by N.C. Gen. Stat. § 75-4.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