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Rhode Island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Protected-Category Screen Confirmation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{worker_category_confirmation}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Protection from ordinary competition is not a Protected Interest, and each covenant in this agreement identifies the specific interest it serves.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Rhode Island Uniform Trade Secrets Act, R.I. Gen. Laws § 6-41-1(4), and under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and each covenant in this agreement is included solely to protect Employer's Protected Interests and is drawn no broader than apparently necessary to protect the party in whose favor it runs. Employer would not provide Employee with access to its Confidential Information and Trade Secrets absent the protections in this agreement. The parties intend each covenant to be drawn within the scope Rhode Island law permits at the outset rather than in reliance on judicial narrowing.</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and this agreement records that consideration so the contemporaneous exchange is available if enforcement is later sought.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an agreement not to use or disclose Employer's trade-secret information, including after employment ends, and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confined to the Covered Employees class and the Restricted Period.</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scoped to Covered Customers over the Covered Customer Period rather than to a geographic territory, is included solely to protect Employer's Protected Interests, and is drawn no broader than apparently necessary to protect them. If Employee is a physician or an advanced practice registered nurse, this covenant does not apply to and is not enforceable against Employee as a restriction of the right to practice protected by R.I. Gen. Laws §§ 5-37-33 / 5-34-50.</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The parties include this covenant only where a genuine Protected Interest supports it, and it is drawn no broader than apparently necessary to protect that interest.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and is enforceable, only if Employee is outside every worker category the Rhode Island Noncompetition Agreement Act protects: it is unenforceable against an employee who is nonexempt under the Fair Labor Standards Act, an undergraduate or graduate student intern, an employee age eighteen or younger, or an employee whose average annual earnings are not more than two hundred fifty percent of the federal poverty level for individuals (R.I. Gen. Laws §§ 28-59-3(a), 28-59-2(7)). This covenant does not apply to and is not enforceable against a physician or an advanced practice registered nurse as a restriction of the right to practice (§§ 5-37-33 / 5-34-50). This covenant is included solely to protect Employer's Protected Interests, is ancillary to a valid relationship, is supported by consideration, and is drawn no broader than apparently necessary to protect that interest. Where Employer can identify its real competitors, the Specified Competitors listed in Cover Terms bound this covenant in place of, or in addition to, the Competitive Business definition.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is subject to the same Rhode Island gates as the non-competition covenant: it does not apply to a protected-category worker, a physician, or an advanced practice registered nurse; it identifies a legitimate interest that protection from the worker's capital alone will not supply; and it is drawn no broader than apparently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and the remaining provisions stay in effect (R.I. Gen. Laws § 5-34-50). For such a provider, this agreement operates only to the extent it does not restrict that right to practice.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Employee's representations in this section include the facts that determine whether a covenant is enforceable against Employee under R.I. Gen. Laws § 28-59-3(a) or void under §§ 5-37-33 / 5-34-50.</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under the Rhode Island Noncompetition Agreement Act or void under §§ 5-37-33 / 5-34-50.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Where Employer's Trade Secrets are threatened, Employer may also seek an injunction against actual or threatened misappropriation under the Rhode Island Uniform Trade Secrets Act (R.I. Gen. Laws § 6-41-2(a)), and the contractual remedies in this agreement survive alongside the statutory ones (§ 6-41-7(b)).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 Consistent with R.I. Gen. Laws § 28-59-3(b), if a non-compete in this agreement is unenforceable against Employee under the Noncompetition Agreement Act, the remainder of this agreement survives.</w:t>
      </w:r>
    </w:p>
    <w:p>
      <w:pPr>
        <w:pStyle w:val="OABody"/>
        <w:keepNext/>
        <w:numPr>
          <w:ilvl w:val="0"/>
          <w:numId w:val="1"/>
        </w:numPr>
        <w:spacing w:before="320" w:after="120" w:line="340" w:lineRule="auto"/>
        <w:jc w:val="left"/>
      </w:pPr>
      <w:r>
        <w:rPr>
          <w:b/>
          <w:bCs/>
        </w:rPr>
        <w:t xml:space="preserve">Partial Enforcement, Not Reliance on Reformation</w:t>
      </w:r>
    </w:p>
    <w:p>
      <w:pPr>
        <w:pStyle w:val="OABody"/>
        <w:spacing w:before="0" w:after="120" w:line="340" w:lineRule="auto"/>
        <w:ind w:left="720"/>
      </w:pPr>
      <w:r>
        <w:t xml:space="preserve">The parties intend that a court may modify and partially enforce any covenant in this agreement. Each restrictive covenant in this agreement is drawn no broader than reasonably necessary at the outset rather than in reliance on judicial narrowing.</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Each covenant survives independently of the others.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Rhode Island-based worker, the parties select Rhode Island law and a Rhode Island forum to keep the enforceability analysis where the covenant's facts sit.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changes the scope of a restrictive covenant states which covenant version controls.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