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special facts, over and above ordinary competition, that a Tennessee covenant may protect, namely Employer's Confidential Information, Employer's trade secrets as protected by the Tennessee Uniform Trade Secrets Act (Tenn. Code Ann. §§ 47-25-1701 to 47-25-1709), Employer's investment in special training provided to Employee, and Employer's customer relationships in which Employee is the face of Employer's business,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Tennessee Uniform Trade Secrets Act, Tenn. Code Ann. § 47-25-1702.</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is intended to protect one or more of Employer's Protected Interests and to impose no restraint greater than is required for that protection. The parties acknowledge that a covenant may not be used to restrain ordinary competition and that Employer relies on special facts present over and above ordinary competition — its Confidential Information and trade secrets, its investment in special training, and its customer relationships in which Employee is the face of the business — and would not provide Employee with access to these Protected Interests absent the protections in this agreement. Each covenant is intended to be no greater in time, territory, and scope than is required to protect Employer's business interest.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and record the timing of its execution. If this agreement is signed at the outset of employment, the offer and commencement of employment is the consideration. If Employee is an existing employee signing after hire, the parties agree that Employee's continued employment for an appreciable length of time is consideration for the covenants; where continued employment is brief, the parties intend to identify separate consideration for the covenants. Employer has given Employee the opportunity to consult with independent legal counsel before signing this agreement. Employee acknowledges that the restrictions in this agreement are reasonable and necessary to protect Employer's Protected Interests, and understands that adequate consideration establishes only that the covenants are supported, not that they are reasonable, so each covenant must independently satisfy Tennessee's reasonableness requirements.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 The parties intend that these return, deletion, and certification mechanics provide contemporaneous evidence of Employer's efforts to protect its Confidential Information and trade secrets.</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maps onto Employer's interest in the customer relationships in which Employee was the face of the business. It does not bar Employee from competing at all.</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covenant is sized to the customer relationships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and not to restrain ordinary competition. The parties intend this covenant to be no greater in time and territory than is required to protect Employer's business interest. For a covenant governed by the 2026 statute — one entered into, renewed, or amended on or after July 1, 2026 — the Restricted Period is intended to stay within the applicable presumption window of Tenn. Code Ann. § 50-1-210. This covenant is also subject to the compensation threshold and worker exclusions stated below. If Employer has identified specific competitors in Cover Terms under Specified Competitors, the parties intend this covenant to be understood and, if necessary, enforced as limited to those named competitors.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and for a covenant governed by Tenn. Code Ann. § 50-1-211 — one entered into, renewed, or amended on or after July 1, 2026, or enforced in a proceeding occurring on or after that date — the non-compete restriction is not enforceable against, and Employer will not require, request, or enforce it against, Employee if Employee's annualized compensation is less than seventy thousand dollars ($70,000); a non-compete executed in violation of that bar is void and unenforceable as a matter of public policy (Tenn. Code Ann. § 50-1-211(a), (c)). For this purpose, annualized compensation includes wages, salary, commissions, nondiscretionary bonuses, and other remuneration, and for an hourly employee is calculated by multiplying the hourly rate by forty and the product by fifty-two (Tenn. Code Ann. § 50-1-211(b)(2)). In addition, and regardless of Employee's compensation, duration, or territory, the non-compete restriction does not apply to and is void against Employee if Employee is a physician who specializes in the practice of emergency medicine, who falls outside the health-care-provider safe harbor (Tenn. Code Ann. § 63-1-148(d)). The other restrictive covenants in this agreement remain in effect to the extent they are otherwise enforceable.</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Because this covenant restrains active roles at and material participation in a Competitive Business, it functions as a post-employment restraint. To the extent it operates as a non-compete governed by the 2026 statute, it is subject to the same compensation threshold and worker exclusions stated above.</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is a health-care provider licensed under chapters 3, 4, 5, 6, 8, 9, or 11 of Title 63 of the Tennessee Code, any covenant in this agreement restricting Employee's right to practice Employee's profession upon termination is intended to stay within the statutory safe harbor of Tenn. Code Ann. § 63-1-148(a): it must be set forth in a written document signed by Employee and Employer, run two years or less in duration, and stay within the greater of a ten-mile radius from Employee's primary practice site while employed or contracted or the county in which that primary practice site is located. This safe harbor does not reach a physician who specializes in the practice of emergency medicine (Tenn. Code Ann. § 63-1-148(d)); against such a physician the non-compete is void as provided in the Compensation Threshold and Workers Exempt from the Non-Compete section above, and the confidentiality and non-solicitation covenants in this agreement are not affected.</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 Employer will not assert a non-compete through such a notice against an Employee for whom the non-compete is void under the Compensation Threshold and Workers Exempt from the Non-Compete section above.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intend this extension to be defined and bounded, not open-ended or indefinite, and to remain reasonable in duration.</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remedies under the Tennessee Uniform Trade Secrets Act for misappropriation of a trade secret (Tenn. Code Ann. § 47-25-1704). If this agreement provides for attorney's fees, the parties intend any such provision to be mutual and prevailing-party based; absent such a provision, the American Rule applies and each party bears its own fees.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or a court's decision to enforce a covenant only to a reasonable extent, does not affect the others.</w:t>
      </w:r>
    </w:p>
    <w:p>
      <w:pPr>
        <w:pStyle w:val="OABody"/>
        <w:keepNext/>
        <w:numPr>
          <w:ilvl w:val="0"/>
          <w:numId w:val="1"/>
        </w:numPr>
        <w:spacing w:before="320" w:after="120" w:line="340" w:lineRule="auto"/>
        <w:jc w:val="left"/>
      </w:pPr>
      <w:r>
        <w:rPr>
          <w:b/>
          <w:bCs/>
        </w:rPr>
        <w:t xml:space="preserve">Reformation</w:t>
      </w:r>
    </w:p>
    <w:p>
      <w:pPr>
        <w:pStyle w:val="OABody"/>
        <w:spacing w:before="0" w:after="120" w:line="340" w:lineRule="auto"/>
        <w:ind w:left="720"/>
      </w:pPr>
      <w:r>
        <w:t xml:space="preserve">Employer requests reformation if any restraint in this agreement is found to be overbroad. Accordingly, each restrictive covenant in this agreement is drawn as a reasonable, severable restraint sized to the Protected Interests from the start and is intended to be enforceable as written rather than in reliance on judicial revision.</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If the law of a state other than Tennessee is selected for an agreement with a Tennessee worker, the parties intend that selection to be executed in good faith and to rest on a genuine connection to the parties. The parties intend that the governing-law and venue choices match where Employee actually lives and works.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