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Vermont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Employer's trade secrets as defined by the Vermont Trade Secrets Act (9 V.S.A. §§ 4601–4609), and Employer's goodwill in its customer, vendor, referral-source, and business-partner relationships,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to "trade secret" in the Vermont Trade Secrets Act, 9 V.S.A. §§ 4601–4609.</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required for that protection. The parties acknowledge that each covenant is meant to guard Employer's Confidential Information, trade secrets, and customer goodwill and not to eliminate ordinary competition, and that Employer would not provide Employee with access to these Protected Interests absent the protections in this agreement. Each covenant is intended to be reasonable in time, territory, and scope, to impose no undue hardship on Employee, and to cause no injury to the public.</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If Employee is an existing at-will employee, the parties agree that continued employment alone is sufficient consideration to support the covenants in this agreement; no separate payment, raise, or promotion is required. If this agreement is signed at the outset of employment, the offer and commencement of employment is the consideration. Employee acknowledges having had the opportunity to consult with independent legal counsel before signing this agreement. Employee acknowledges that the restrictions in this agreement are reasonable and necessary to protect Employer's Protected Interests, and that adequate consideration establishes only that the covenants are supported, not that they are reasonable — each covenant must independently be reasonable in time, territory, and scope.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no broader than necessary to protect Employer's workforce stability and goodwill.</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with whom Employee had material contact and is no broader than necessary to protect Employer's goodwill in its customer relationships.</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it is limited to the goodwill it protects and reaches only Covered Customers with whom Employee had material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and customer goodwill — and not to restrain ordinary competition. The parties intend this covenant to be no greater than is needed to protect Employer's legitimate interest, to impose no undue hardship on Employee, and to cause no injury to the public, with its time and territory sized to Employee's actual role and Employer's actual market and tied to a determinable place. If Employer has identified specific competitors in Cover Terms under Specified Competitors, the parties intend this covenant to be understood and, if necessary, enforced as limited to those named competitors.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Because this covenant restrains active roles at and material participation in a Competitive Business, it is drawn no broader than necessary to protect Employer's Protected Interests.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licensed healthcare professional, any covenant in this agreement restraining Employee from practicing is intended to use a narrow radius and a short term to preserve patient access and continuity of care, and applies only to the extent it is reasonable in time, territory, and scope.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parties intend that the Restricted Period for that covenant be extended by one day for each day of the breach, so that the full duration of the restriction runs from the date the breach ends. Any such extension is itself a restraint, is limited to what remains reasonable in time, and is not intended to be open-ended or indefinite.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any remedy available under applicable trade-secret law for actual or threatened misappropriation of a trade secret.</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does not affect the others.</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Each restrictive covenant in this agreement is drawn as a tiered, severable, reasonable restraint sized to the Protected Interests and is intended to be enforceable as written. If any restraint is nonetheless found overbroad, Employer requests that the covenant be enforced to the extent reasonable to the degree Vermont law permits.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 Each covenant's duration is stated in Cover Terms, and no covenant is intended to revive after its stated term has run.</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The parties intend that any transfer of a covenant in connection with a sale of Employer's business be stated expressly in the transaction documents.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This agreement does not impose a covenant not to compete as a condition of a barbering or cosmetology school's training for licensure, and it does not restrict a lawyer's right to practice after termination of the relationship except as to benefits upon retirement, nor make any restriction on a lawyer's right to practice part of the settlement of a client controversy.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The parties confirm that every covenant term — duration, geography, scope, and consideration — is stated in this agreement rather than deferred to a side understanding.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(Vermont)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(Vermont)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(Vermont)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