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Protected Disclosures and Protected Activity.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Nothing in this acknowledgement restricts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from reporting possible violations of law to a government agency or attorney, making disclosures protected by whistleblower laws, or discussing wages, hours, or working conditions as protected by law.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does not need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prior approval to make those disclosures or to notify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that they were made. Pursuant to the Defend Trade Secrets Act (18 U.S.C. § 1833(b)),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not be held criminally or civilly liable under federal or state trade secret law for disclosing a trade secret in confidence to a government official or attorney solely to report or investigate a suspected violation of law, or in a court filing made under seal.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also disclose a trade secret to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attorney and use it in a retaliation lawsuit if any filing containing the trade secret is made under seal and the trade secret is not otherwise disclosed except by court order.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2026-05-27T04:44:29.349Z</dcterms:created>
  <dcterms:modified xsi:type="dcterms:W3CDTF">2026-05-27T04:44:29.349Z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