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and legally protected business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and non-disparagement obligations in this agreement are intended to protect Employer's Protected Interests without restraining Employee from engaging in a lawful profession, trade, or business.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and other lawful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and return-of-property obligations.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primarily resides and works in California, this agreement does not require Employee, as a condition of employment, to adjudicate a claim arising in California outside California or to waive the substantive protection of California law, except where Employee was individually represented by counsel in negotiating a different provision.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