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Non-Compete Timing and Disclosure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{disclosure_date}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{delivery_date}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{required_signing_date}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{noncompete_effectiveness_reference}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that does not qualify as a trade secret, and goodwill. Each restrictive covenant in this agreement protects one or more of those interests and does not target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Employer's trade secrets, Confidential Information, or goodwill. Employee will receive access to Employer's Confidential Information and Trade Secrets in the course of employment.</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Employer disclosed the non-compete requirement to Employee before making the offer of employment, on the Pre-Offer Disclosure Date listed in Cover Terms. Employer provided Employee a copy of this agreement on the Agreement Delivery Date listed in Cover Terms, at least three business days before the Required Signing Date. Employee had that period to review the agreement, negotiate its terms or the terms of employment, and consult an attorney.</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whom Employee actually served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wages are at or below the wage-floor reference stated in the field note above. This covenant does not apply to a licensed veterinarian working in a veterinary facility unless Employee has an ownership interest in that facility. This covenant takes effect at the Non-Compete Effectiveness point listed in Cover Terms, except that the delayed effectiveness date does not apply to an allopathic or osteopathic physician.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wage-floor, veterinarian, and effectiveness exclusions stated in the Non-Competition section also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The Non-Compete Covenant does not apply to Employee while Employee is a health-care practitioner excluded from non-compete restrictions by Maine law.</w:t>
      </w:r>
    </w:p>
    <w:p>
      <w:r>
        <w:t xml:space="preserve">{END-IF}</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authorizes any arrangement that restricts one employer from soliciting or hiring another employer's employees or former employees.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if Employer reasonably believes Employee may breach those obligations. Employer must not enter into any arrangement with another employer that restricts lawful hiring.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 award under this agreement is available to the prevailing party.</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separate from the other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its applicable effectiveness date.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governed by Maine law.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