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 Consideration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{ma_noncompete_consideration}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Employer's Confidential Information that would not otherwise qualify as a trade secret, and Employer's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and agree that the restrictive covenants in this agreement are supported by, and no broader than necessary to protect, Employer's Protected Interests (Mass. Gen. Laws ch. 149, § 24L(b)(iii)).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which must not exceed 12 months after employment ends, Employee must not engage in, be employed by, consult for, or have an active ownership interest in any Competitive Business within the Restricted Territory. If Employee breaches a fiduciary duty to Employer or unlawfully takes Employer's property, the Restricted Period may extend to no more than 2 years after employment ends. This covenant is supported by the garden leave or other consideration stated in Cover Terms and is subject to the worker exclusions below.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If Cover Terms state garden leave or other mutually-agreed upon consideration for the non-compete, the parties stipulate that consideration as the consideration supporting the non-compete in this agreement (Mass. Gen. Laws ch. 149, § 24L(b)(vii)). If Cover Terms state garden leave, Employer agrees to pay Employee, consistent with Mass. Gen. Laws ch. 149, § 148, on a pro-rata basis during the entirety of the Restricted Period for the non-compete, at least 50 percent of Employee's highest annualized base salary paid by Employer within the 2 years preceding the cessation of employment. This payment obligation takes effect upon the cessation of employment unless Employer waives the non-compete in writing at or before the cessation of employment, in which case the non-compete does not take effect and no garden leave payments are owed. Except in the event of a breach by Employee, Employer may not unilaterally discontinue or otherwise fail or refuse to make the garden leave payments.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does not apply to Employee if Employee is: (i) classified as nonexempt under federal wage-and-hour law; (ii) an undergraduate or graduate student in an internship or other short-term employment relationship while enrolled in an educational program; (iii) terminated without cause or laid off; or (iv) age 18 or younger. The other restrictive covenants in this agreement remain in effect according to their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garden leave or other agreed consideration, 12-month duration cap, and worker exclusions stated above apply to this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a registered or practical nurse, a licensed psychologist, or a licensed social worker.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Employer will not require or enforce such a restriction.</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Any extension of the non-compete under this section remains subject to the duration limits stated in the Non-Competition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any civil action relating to the non-compete in this agreement that is subject to Mass. Gen. Laws ch. 149, § 24L, Employer and Employee mutually agree that the action may be brought in Suffolk County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