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Confidential Information, Trade Secrets, and goodwill in its customer, vendor, referral-source, and business-partner relationships.</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has the meaning given in the Ohio Uniform Trade Secrets Act, Ohio Rev. Code § 1333.61(D).</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each restrictive covenant in this agreement protects Employer's Confidential Information, trade secrets, customer goodwill, and other Protected Interests. Employer would not provide Employee with access to these Protected Interests absent the protections in this agreement. The parties acknowledge that each covenant is reasonable in time, territory, and scope.</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The parties acknowledge that this agreement is supported by adequate consideration. If Employee is an existing at-will employee, Employer's continuation of Employee's at-will employment is exchanged for Employee's assent to the covenants. If this agreement is signed at the outset of employment, the offer and commencement of employment is the consideration. Employee acknowledges having had the opportunity to consult with independent legal counsel before signing this agreement. Employee acknowledges that the restrictions in this agreement are reasonable and appropriate to protect Employer's Protected Interests.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continue for the period specified in Cover Terms. This confidentiality obligation is intended to operate alongside, and independent of, any restrictive covenant, and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 This covenant reaches only Covered Employees during the Restricted Period and is no broader than necessary to protect Employer's workforce stability and goodwill.</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reaches only Covered Customers with whom Employee had material contact and is no broader than necessary to protect Employer's goodwill in its customer relationships. This covenant is directed at Employer's customer-goodwill interest and operates together with the confidentiality and trade-secret protections in this agreement.</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with whom Employee had material contact, whether Employee or the Covered Customer initiates contact.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If Employer has identified specific competitors in Cover Terms under Specified Competitors, this covenant applies only to those named competitors.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rights protected under Section 7 of the National Labor Relations Act.</w:t>
      </w:r>
    </w:p>
    <w:p>
      <w:r>
        <w:t xml:space="preserve">{IF worker_is_physician}</w:t>
      </w:r>
    </w:p>
    <w:p>
      <w:pPr>
        <w:pStyle w:val="OABody"/>
        <w:keepNext/>
        <w:numPr>
          <w:ilvl w:val="0"/>
          <w:numId w:val="1"/>
        </w:numPr>
        <w:spacing w:before="320" w:after="120" w:line="340" w:lineRule="auto"/>
        <w:jc w:val="left"/>
      </w:pPr>
      <w:r>
        <w:rPr>
          <w:b/>
          <w:bCs/>
        </w:rPr>
        <w:t xml:space="preserve">Physician and Health Care Practitioner Covenants</w:t>
      </w:r>
    </w:p>
    <w:p>
      <w:pPr>
        <w:pStyle w:val="OABody"/>
        <w:spacing w:before="0" w:after="120" w:line="340" w:lineRule="auto"/>
        <w:ind w:left="720"/>
      </w:pPr>
      <w:r>
        <w:t xml:space="preserve">If Employee is a physician, any covenant restraining Employee from practicing medicine applies only during the Restricted Period and within the Restricted Territory stated in Cover Terms. No covenant prohibits a patient from choosing a provider or obtaining continuity of care.</w:t>
      </w:r>
    </w:p>
    <w:p>
      <w:r>
        <w:t xml:space="preserve">{END-IF}</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up to the original Restricted Period.</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(Ohio)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(Ohio)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(Ohio)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