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{oregon_garden_leave_pay}</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highlight w:val="yellow"/>
        </w:rPr>
        <w:t xml:space="preserve">{covered_customer_period}</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competitively sensitive Confidential Information,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of Employer's Protected Interests. Employee will receive access to Employer's Protected Interests, and Employer would not provide that access absent the protections in this agreement. Employee acknowledges that the covenants are reasonable and necessary to protect Employer's Protected Interests.</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Employee acknowledges either that Employee received a written employment offer stating that the covenant was required at least two weeks before employment began or that Employee enters into the covenant upon a bona fide advancement.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Under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provide Employee a signed copy of any noncompetition covenant within 30 days after termination.</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applies only to Covered Employees during the Restricted Period (ORS 653.295(5)(b)).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The Covered Customers class is limited to customers with an active or ongoing relationship with Employer and does not include former or merely incidental patrons.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an active or ongoing relationship with Employer and excludes former or incidental patrons.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duties, salary basis, and annual compensation at termination satisfy applicable law or Employer makes the garden-leave payment stated in Cover Terms. Employer will provide Employee a signed copy of this covenant within 30 days after termination. The Restricted Period ends no later than 12 months after termination.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Employer agrees to pay Employee </w:t>
      </w:r>
      <w:r>
        <w:rPr>
          <w:highlight w:val="yellow"/>
        </w:rPr>
        <w:t xml:space="preserve">{oregon_garden_leave_pay}</w:t>
      </w:r>
      <w:r>
        <w:t xml:space="preserve"> during the non-compete's Restricted Period when the garden-leave payment condition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is subject to the same conditions and Restricted Period as the Non-Competition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r>
        <w:t xml:space="preserve">{IF healthcare_provider}</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 covenant in this agreement restricts Employee's practice of medicine or nursing where applicable law prohibits that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restrictive covenant other than the non-compete, the Restricted Period for that covenant is extended by one day for each day of the breach. Tolling will not extend the non-compete beyond 12 months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lawful relief to protect its Trade Secrets and proprietary information. The prevailing party in an enforcement action is entitled to reasonable attorney fees, costs, and disbursements.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The non-compete expires no later than 12 months after termination.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Assignment does not expand a covenant or eliminate any condition applicable to its enforcement.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Oregon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introducing or expanding a non-compete is effective only if executed in connection with a bona fide advancement or other formation event permitted by applicable law. This agreement may otherwise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