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and Trade Secrets and Employer's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 Each covenant is limited to the time, territory, and scope stated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supported by Employee's continued employment or, if signed at the outset of employment, Employer's offer of employment.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regardless of who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Specified Competitors are listed in Cover Terms, Competitive Business is limited to those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No covenant in this agreement restricts a licensed healthcare professional from practicing beyond the Restricted Period or outside the Restricted Territory stated in Cover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the breach continues. The extension may not exceed the number of days during which the breach continued.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any remedy available under applicable trade-secret law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 Each covenant's duration is stated in Cover Terms, and no covenant is intended to revive after its stated term has run.</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Employer may assign this agreement to a successor in connection with a sale of its business.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This agreement does not impose a covenant not to compete as a condition of a barbering or cosmetology school's training for licensure, and it does not restrict a lawyer's right to practice after termination of the relationship except as to benefits upon retirement, nor make any restriction on a lawyer's right to practice part of the settlement of a client controversy.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(Vermont)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