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Delaware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in its customer, vendor, referral-source, and business-partner relationships, Employer's Confidential Information, and Employer's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is intended to advance one or more of Employer's Protected Interests and to impose no restraint broader than is reasonable to serve that interest. The legitimate interests listed here are Employer's goodwill and Employer's Confidential Information, and the parties intend each covenant to be tied to the goodwill or information this Employee actually touched rather than to ordinary competition. Each covenant is intended to be reasonable in geographic scope and temporal duration and no broader than reasonable to protect the Protected Interest it serves.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If Employee signs this agreement after employment begins, Employer provides continued employment and any additional value identified in connection with this signing in exchange for Employee's agreement to these covenants. If this agreement is signed at the outset of employment, the offer and commencement of employment is the consideration. Employee acknowledges having had the opportunity to consult with independent legal counsel before signing.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 This obligation is scoped to genuinely confidential information and does not operate as a restraint on competition.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reasonable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reasonable to protect Employer's goodwill in those customer, vendor, referral-source, and business-partner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advance Employer's Protected Interests — its goodwill and its Confidential Information — and not to restrain ordinary competition. The parties intend this covenant to be reasonable in geographic scope and temporal duration, to advance a legitimate economic interest of Employer, and no broader than reasonable to protect Employer's Protected Interests, with its time and territory sized to Employee's actual role and Employer's actual market. If Employer has identified specific competitors in Cover Terms under Specified Competitors, this covenant is limited to those named competitors and their businesses.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drawn no broader than reasonable to advance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this agreement does not restrict Employee's right to practice medicine in a particular locale or for a defined period after termination. Employee remains responsible for any agreed damages reasonably related to injury caused by termination, including damages related to competition.</w:t>
      </w:r>
    </w:p>
    <w:p>
      <w:pPr>
        <w:pStyle w:val="OABody"/>
        <w:keepNext/>
        <w:numPr>
          <w:ilvl w:val="0"/>
          <w:numId w:val="1"/>
        </w:numPr>
        <w:spacing w:before="320" w:after="120" w:line="340" w:lineRule="auto"/>
        <w:jc w:val="left"/>
      </w:pPr>
      <w:r>
        <w:rPr>
          <w:b/>
          <w:bCs/>
        </w:rPr>
        <w:t xml:space="preserve">Home Inspector Trainee Carve-Out</w:t>
      </w:r>
    </w:p>
    <w:p>
      <w:pPr>
        <w:pStyle w:val="OABody"/>
        <w:spacing w:before="0" w:after="120" w:line="340" w:lineRule="auto"/>
        <w:ind w:left="720"/>
      </w:pPr>
      <w:r>
        <w:t xml:space="preserve">If Employee is registered as a home inspector trainee, this agreement does not require Employee to execute a covenant not to compete with, or pay any fee, charge, or other thing of value to, a supervising licensed home inspector as a condition of satisfying the trainee requirements. This carve-out does not alter the covenants as applied to any other worker.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or forfeiture-for-competition condition from a prior employer or equity arrangement.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do not intend an open-ended or indefinite extension, and any extension is limited to a period no longer than reasonable to protect Employer's Protected Interests.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 and nothing in this agreement waives non-waivable restrictions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carrying forward a restrictive covenant must identify the consideration supporting that amendment.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