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Georgia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a trade secret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confidential</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Employer conducts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b w:val="0"/>
          <w:bCs w:val="0"/>
        </w:rPr>
        <w:t xml:space="preserve">2 years</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24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substantial customer relationships, and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w:t>
      </w:r>
    </w:p>
    <w:p>
      <w:pPr>
        <w:pStyle w:val="OABody"/>
        <w:keepNext/>
        <w:numPr>
          <w:ilvl w:val="0"/>
          <w:numId w:val="1"/>
        </w:numPr>
        <w:spacing w:before="320" w:after="120" w:line="340" w:lineRule="auto"/>
        <w:jc w:val="left"/>
      </w:pPr>
      <w:r>
        <w:rPr>
          <w:b/>
          <w:bCs/>
        </w:rPr>
        <w:t xml:space="preserve">Recitals, Consideration, and Protected Interests</w:t>
      </w:r>
    </w:p>
    <w:p>
      <w:pPr>
        <w:pStyle w:val="OABody"/>
        <w:spacing w:before="0" w:after="120" w:line="340" w:lineRule="auto"/>
        <w:ind w:left="720"/>
      </w:pPr>
      <w:r>
        <w:t xml:space="preserve">Each covenant is supported by and no broader than necessary to protect Employer's Protected Interests. In consideration for this agreement, Employer provides Employee with </w:t>
      </w:r>
      <w:r>
        <w:rPr>
          <w:b w:val="0"/>
          <w:bCs w:val="0"/>
        </w:rPr>
        <w:t xml:space="preserve">access to Employer's Confidential Information, specialized training, and Employer's customer goodwill and relationships</w:t>
      </w:r>
      <w:r>
        <w:t xml:space="preserv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trade-secret obligations continue while the information remains a trade secret. Other confidentiality obligations continue for the duration specified in Cover Terms and end when the information is no longer confidential.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Employee's covered function is: </w:t>
      </w:r>
      <w:r>
        <w:rPr>
          <w:b w:val="0"/>
          <w:bCs w:val="0"/>
        </w:rPr>
        <w:t xml:space="preserve">Employee is a key employee or a professional, or in the course of employment customarily and regularly solicits customers or prospective customers, makes sales, or performs the managerial duties described in O.C.G.A. § 13-8-53(a).</w:t>
      </w:r>
      <w:r>
        <w:t xml:space="preserve">.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The restrictive covenants apply to a physician or other health care practitioner only if the covered function identified in Cover Terms applies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disclosure to factual statements about the covenants in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Each Restricted Period begins when Employee's employment ends and expires on its stated end date, notwithstanding any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temporary and permanent injunctive relief and any other appropriate and effective remedy available at law or equity, including relief available under applicable trade-secret law to prevent actual or threatened misappropriation of trade secrets.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that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