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highlight w:val="yellow"/>
        </w:rPr>
        <w:t xml:space="preserve">{covered_customer_period}</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goodwill in customer relationships with which Employee had substantial contact and an opportunity to influence.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The parties acknowledge that Employer would not provide Employee with access to its trade secrets and customer relationships absent the protections in this agreement. Each covenant is intended to be no more restrictive than is necessary to protect a Protected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highlight w:val="yellow"/>
        </w:rPr>
        <w:t xml:space="preserve">{independent_consideration}</w:t>
      </w:r>
      <w:r>
        <w:t xml:space="preserve">, conferred on Employee in exchange for Employee's assent to the covenants in this agreement.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which must not exceed one year for this covenant,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does not apply to any Covered Employee who provided only secretarial or clerical services.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Covered Customers whom Employee actually serviced or had substantial contact with.</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Covered Customers whom Employee actually serviced or had substantial contact with.</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each restriction applies only during the Restricted Period and within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Missouri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Each covenant's survival period runs independently for the duration specified for that covenant in Cover Terms.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takes this agreement subject to the same limits and acquires no greater rights than Employer holds under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