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Nevada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b w:val="0"/>
          <w:bCs w:val="0"/>
        </w:rPr>
        <w:t xml:space="preserve">the compensation, access to Confidential Information, and other benefits Employer provides to Employee under this agreement, which the parties agree are given in exchange for, and are appropriate in relation to, the restrictive covenants</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subject to NRS 613.195 and other applicable law, Employer may seek temporary and permanent injunctive relief and any other appropriate remedy available at law or in equity. If Employer brings an action to enforce a covenant not to compete in this agreement, or Employee brings an action to challenge one, and the court finds either that the covenant applies to Employee while Employee is paid solely on an hourly wage basis, exclusive of any tips or gratuities, or that Employer has restricted or attempted to restrict Employee from providing service to a former customer or client in the circumstances described in NRS 613.195(2), the court shall award Employee reasonable attorney's fees and costs in accordance with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