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statutory work in New Mexico: for psychologists, physician assistants, and pharmacists, the health-care practitioner article applies only to agreements, renewals, or extensions executed on or after the effective date of the 2023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rPr>
              <w:t xml:space="preserve">at the outset of employment as a condition of the offer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rPr>
              <w:t xml:space="preserve">the offer of employment and Employee's access to Employer's Protected Interests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Mexico</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and federal courts located in New Mexico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worked or had material responsibility for Employer during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goodwill in customer and referral relationships with which Employee had material contact.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Employee will receive access to Employer's Trade Secrets, Confidential Information, and customer and referral goodwill in the course of employment.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If Employee signs this agreement as a condition of the initial offer of employment, the offer of employment is the consideration. If Employee signs after employment has begun, the new, bargained-for consideration stated in Cover Terms under Consideration is exchanged for the covenants and is separate from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If Employee is a covered health-care practitioner, this covenant ends no later than one year after Employee's last date of employment.</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Employee actually served during the covered look-back window. If the Health-Care Practitioner Non-Compete Exclusion applies to Employee, a non-solicitation provision concerning patients ends no later than one year after Employee's last date of employment.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 If Employee is a covered health-care practitioner, any restriction on dealing with patients ends no later than one year after Employee's last date of employment.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Employee to the extent stated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Employee to the extent stated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Cover Terms state that the Health-Care Practitioner Non-Compete Exclusion applies to Employee, no non-compete provision in this agreement restricts Employee's right to provide clinical health-care services in New Mexico after this agreement, any renewal or extension of this agreement, or Employee's employment ends. This exclusion does not apply if Cover Terms state that Employee enters this agreement as a shareholder, owner, partner, or director of a health-care practice with other health-care practitioners.</w:t>
      </w:r>
    </w:p>
    <w:p>
      <w:pPr>
        <w:pStyle w:val="OABody"/>
        <w:numPr>
          <w:ilvl w:val="1"/>
          <w:numId w:val="1"/>
        </w:numPr>
        <w:spacing w:before="0" w:after="120" w:line="340" w:lineRule="auto"/>
      </w:pPr>
      <w:r>
        <w:t xml:space="preserve">The Health-Care Practitioner Non-Compete Exclusion does not limit Employee's nondisclosure obligations concerning Confidential Information and Trade Secrets. Any non-solicitation obligation concerning Employer's patients or employees ends no later than one year after Employee's last date of employment. If Employee worked for Employer for less than three years, Employee must repay only the portion stated in Cover Terms of any loan, relocation expense, signing bonus, recruiting expense, education expense, or training expense that Employer provided to induce Employee to relocate or establish a health-care practice in a specified geographic area. Any liquidated damages payable under this agreement are limited to the amount stated in Cover Terms.</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that covenant applies for the duration and within the territory stated in Cover Terms. The consideration for that covenant is the purchase consideration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tolled or extended.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 Otherwise, each party bears its own attorney's fees and costs.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If Employee provides clinical health-care services in New Mexico, New Mexico law governs this agreement and disputes must be resolved in New Mexico.</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