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Employer's Confidential Information, trade secrets, customer goodwill, and other Protected Interests. Employer would not provide Employee with access to these Protected Interests absent the protections in this agreement. The parties acknowledge that each covenant is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Employer's continuation of Employee's at-will employment is exchanged for Employee's assent to the covenants.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restraining Employee from practicing medicine applies only during the Restricted Period and within the Restricted Territory stated in Cover Terms. No covenant prohibits a patient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