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Oklahoma's void rule for employee non-competes does not turn on a date floor, but a stated effective date fixes when the surviving covenants begin and anchors any consideration analysis for a covenant signed after employment began.]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Oklahoma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Oklahoma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established customers of Employer from whom Employee solicited, with whom Employee had material contact, or for whom Employee had responsibility during the </w:t>
      </w:r>
      <w:r>
        <w:rPr>
          <w:b w:val="0"/>
          <w:bCs w:val="0"/>
        </w:rPr>
        <w:t xml:space="preserve">12 months</w:t>
      </w:r>
      <w:r>
        <w:t xml:space="preserve"> before termination of employment. Covered Customers do not include prospective customers or former customers.</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b w:val="0"/>
          <w:bCs w:val="0"/>
        </w:rPr>
        <w:t xml:space="preserve">12 months</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Solicit Employees does not include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by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Nothing in the customer or employee non-solicitation covenants bars Employee from working for a competitor or engaging in the same or a similar business as Employer. This agreement does not impose a covenant not to compete. This agreement is effective as of the Effective Date listed in Cover Terms. If Employee signs this agreement after Employee's employment with Employer has begun, Employer agrees to provide Employee fresh and identifiable consideration beyond continued employment, as recited or referenced in Cover Terms or in a separate writing.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does not prohibit Employee from working for a competitor, competing with Employer generally, or doing business with a Covered Customer who approaches Employee without any Direct Solicitation by Employee.</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does not prohibit Employee from providing a professional reference on request, hiring a Covered Employee who applies on the Covered Employee's own initiative without solicitation by Employee,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and any other remedies available under applicable law.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the scope or duration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Any dispute arising under or relating to this agreement is subject to the venue listed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