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Rhode Island the execution date fixes which current statutes and figures frame the covenant: the APRN practice-restriction ban took effect June 17, 2024, and the low-wage category is indexed to 250 percent of the federal poverty level for individuals, which changes over time.]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Rhode Island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Employer's protected legitimate interests actually operate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Employer would not provide Employee with access to its Confidential Information and Trade Secrets absent the protections in this agreement.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during the Covered Customer Period. If Employee is a physician or an advanced practice registered nurse, this covenant does not apply to Employee's practice of medicine or advanced practice nursing.</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is paid on an hourly basis, is eligible for overtime pay, is serving as a student intern, is age eighteen or younger, or has average annual earnings at or below the applicable amount established by law. This covenant does not restrict Employee's practice of medicine or advanced practice nursing. Where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objective exclusions in the Non-Competition section also apply to this restriction.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seek an injunction against actual or threatened misappropriation of Employer's Trade Secrets.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Rhode Island law and a Rhode Island forum apply to an Employee who lives and works in Rhode Island.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