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South Carolina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494A4B"/>
                <w:sz w:val="21"/>
                <w:szCs w:val="21"/>
              </w:rPr>
              <w:t xml:space="preserve">the counties in which Employee actually provided services or serviced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the Protected Interests absent the protections in this agreement. Employee acknowledges that each covenant is necessary to protect Employer's Protected Interests and is supported by valuable consideration.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with respect to customers, vendors, referral sources, or business partners Employee never serviced or contacted.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The duration and territory for this covenant are the primary Duration and Restricted Territory stated in Cover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