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Tennessee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investment in special training provided to Employee, and customer relationships developed by Employee on Employer's behalf.</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its Confidential Information and trade secrets, its investment in special training, and its customer relationships in which Employee is the face of the business.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this agreement is signed at the outset of employment, the offer and commencement of employment is the consideration. If Employee signs after hire, Employer will provide the consideration stated in Cover Terms. Employer has given Employee the opportunity to consult with independent legal counsel before signing this agreement. Employee acknowledges that the restrictions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whom the departing Employee actually worked with or managed and does not operate as a workforce-wide hiring ban.</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compensation and worker exclusions stated below. If Cover Terms identify Specified Competitors, this covenant is limited to those named competitors. Passive Public Holdings are permitted.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the non-compete restriction in this agreement does not apply to, and is void against, Employee if Employee's annualized compensation is less than $70,000. For this purpose, annualized compensation includes wages, salary, commissions, nondiscretionary bonuses, and other remuneration, and for an hourly employee is calculated by multiplying the hourly rate by forty and multiplying the product by fifty-two. The non-compete also does not apply to Employee's practice of emergency medicine. The other restrictive covenants remain in effect according to their terms.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same objective exclusions as the Non-Competition section apply to this restriction.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provides licensed health-care services, any covenant restricting Employee's practice lasts no more than two years and applies only within the greater of a ten-mile radius from Employee's primary practice site or the county where that site is located. No non-compete restricts Employee's practice of emergency medicine.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any prospective employer or business associate of Employee if Employer has a reasonable belief that Employee may breach those obligations.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unless this agreement expressly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covenant's Restricted Period runs independently of the others.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Tennessee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