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Texas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Confidential Information, Trade Secrets,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In exchange for Employee's covenants in this agreement, Employer agrees to provide Employee with Confidential Information, specialized training, and access to Employer's goodwill and customer relationships. Employee acknowledges that the covenants protect Employer's Protected Interests.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It reaches only Covered Customers with whom Employee had material contact and is no broader than necessary to protect Employer's goodwill.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practices medicine and this agreement contains a covenant not to compete relating to that practice, Employer will provide Employee access to a list of patients whom Employee saw or treated within one year before termination and, on reasonable terms and with patient authorization, access to and copies of those patients' medical records. Employee may continue caring for a patient during an acute illness after employment ends. Employee may buy out the covenant at a reasonable price or, at Employee's election, at a price determined by a mutually agreed arbitrator, not exceeding Employee's total annual salary and wages at termination. The covenant expires no later than one year after termination and applies within no more than five miles of the location where Employee primarily practiced.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to prevent actual or threatened misappropriation of trade secrets.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Texas law governs this agreement for an Employee who lives and works in Texas.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