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Vermont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and Trade Secrets and Employer's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Employer would not provide Employee with access to these Protected Interests absent the protections in this agreement. Each covenant is limited to the time, territory, and scope stated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supported by Employee's continued employment or, if signed at the outset of employment, Employer's offer of employment.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necessary to protect Employer's goodwill in its customer relationships.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regardless of who initiates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Specified Competitors are listed in Cover Terms, Competitive Business is limited to those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No covenant in this agreement restricts a licensed healthcare professional from practicing beyond the Restricted Period or outside the Restricted Territory stated in Cover Terms.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the breach continues. The extension may not exceed the number of days during which the breach continued.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any remedy available under applicable trade-secret law for actual or threatened misappropriation of a trade secret.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 Each covenant's duration is stated in Cover Terms, and no covenant is intended to revive after its stated term has run.</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Employer may assign this agreement to a successor in connection with a sale of its business.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This agreement does not impose a covenant not to compete as a condition of a barbering or cosmetology school's training for licensure, and it does not restrict a lawyer's right to practice after termination of the relationship except as to benefits upon retirement, nor make any restriction on a lawyer's right to practice part of the settlement of a client controversy.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