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Washington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current customers, its workforce stability, and its goodwill, in each case to the extent a restraint serving that interest is reasonable and necessary.</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is supported by consideration, and protects one or more of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b w:val="0"/>
          <w:bCs w:val="0"/>
        </w:rPr>
        <w:t xml:space="preserve">the signing or retention bonus, equity grant, promotion, or other new benefit the parties identify as given specifically in exchange for the restrictive covenants</w:t>
      </w:r>
      <w:r>
        <w:t xml:space="preserve"> as independent consideration given specifically in exchange for the restrictive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applies only to solicitation Employee initiates and does not prohibit accepting or transacting business a Covered Customer brings to Employee. It applies only to a Covered Customer with whom Employee established or substantially developed a direct relationship through Employee's work for Employer and expires no later than eighteen months after termination of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covenant applies only while all conditions stated in the Washington Conditions for Any Non-Compete section are satisfied.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applies only while all conditions stated in the Washington Conditions for Any Non-Compete section are satisfied.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and no broader restraint against unnamed Competitive Businesses applies.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applies only while all conditions stated in the Washington Conditions for Any Non-Compete section are satisfied.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Conditions for Any Non-Compete</w:t>
      </w:r>
    </w:p>
    <w:p>
      <w:pPr>
        <w:pStyle w:val="OABody"/>
        <w:numPr>
          <w:ilvl w:val="1"/>
          <w:numId w:val="1"/>
        </w:numPr>
        <w:spacing w:before="0" w:after="120" w:line="340" w:lineRule="auto"/>
      </w:pPr>
      <w:r>
        <w:t xml:space="preserve">This section applies to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condition.</w:t>
      </w:r>
      <w:r>
        <w:t xml:space="preserve"> Each Non-Compete Covenant does not apply unless the completed eligibility determination indicates that Employee satisfies the applicable earnings condition. Where Employee is an independent contractor, the higher contractor earnings threshold applies in place of the employee threshold. A covenant between a performer and a performance space may not exceed three calendar days.</w:t>
      </w:r>
    </w:p>
    <w:p>
      <w:pPr>
        <w:pStyle w:val="OABody"/>
        <w:numPr>
          <w:ilvl w:val="1"/>
          <w:numId w:val="1"/>
        </w:numPr>
        <w:spacing w:before="0" w:after="120" w:line="340" w:lineRule="auto"/>
      </w:pPr>
      <w:r>
        <w:rPr>
          <w:b/>
          <w:bCs/>
        </w:rPr>
        <w:t xml:space="preserve">Disclosure or independent consideration.</w:t>
      </w:r>
      <w:r>
        <w:t xml:space="preserve"> Each Non-Compete Covenant does not apply unless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does not apply unless its enforcement includes compensation equivalent to Employee's base salary at the time of termination for the period of enforcement, minus compensation earned through subsequent employment during the period of enforcement, as required under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as RCW 49.62.020(2) requires.</w:t>
      </w:r>
    </w:p>
    <w:p>
      <w:pPr>
        <w:pStyle w:val="OABody"/>
        <w:numPr>
          <w:ilvl w:val="1"/>
          <w:numId w:val="1"/>
        </w:numPr>
        <w:spacing w:before="0" w:after="120" w:line="340" w:lineRule="auto"/>
      </w:pPr>
      <w:r>
        <w:rPr>
          <w:b/>
          <w:bCs/>
        </w:rPr>
        <w:t xml:space="preserve">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under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Non-Compete exclusion.</w:t>
      </w:r>
      <w:r>
        <w:t xml:space="preserve"> Nothing in this agreement restricts or delays any notice to affected workers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only factual information about lawful confidentiality, trade-secret, return-of-property, and other obligations that remain enforceable. Employee consents to that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Conditions for Any Non-Compete section. Any Non-Compete Covenant expires no later than June 30, 2027.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may enforce a Non-Compete Covenant only while the applicable earnings condition is satisfied.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